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2F196B" w:rsidRDefault="002F196B"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2F196B" w:rsidRPr="00B9504A" w:rsidRDefault="002F196B"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2F196B" w:rsidRDefault="002F196B"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2F196B" w:rsidRPr="00B9504A" w:rsidRDefault="002F196B"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2F196B" w:rsidRPr="00B9504A" w:rsidRDefault="002F196B"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2F196B" w:rsidRPr="00B9504A" w:rsidRDefault="002F196B"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2F196B" w:rsidRPr="008D630A" w:rsidRDefault="002F196B"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44.9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uQwyoCAABSBAAADgAAAGRycy9lMm9Eb2MueG1srFTNbtswDL4P2DsIui92vHRJjThFly7DgO4H&#10;aPcAsizHwiRRk5TY2dOXktPU2HYa5oNAitRH8iPp9c2gFTkK5yWYis5nOSXCcGik2Vf0++PuzYoS&#10;H5hpmAIjKnoSnt5sXr9a97YUBXSgGuEIghhf9raiXQi2zDLPO6GZn4EVBo0tOM0Cqm6fNY71iK5V&#10;VuT5u6wH11gHXHiPt3ejkW4SftsKHr62rReBqIpibiGdLp11PLPNmpV7x2wn+TkN9g9ZaCYNBr1A&#10;3bHAyMHJP6C05A48tGHGQWfQtpKLVANWM89/q+ahY1akWpAcby80+f8Hy78cvzkiG+wdJYZpbNGj&#10;GAJ5DwMpIju99SU6PVh0CwNeR89Yqbf3wH94YmDbMbMXt85B3wnWYHbz+DKbPB1xfASp+8/QYBh2&#10;CJCAhtbpCIhkEETHLp0unYmpcLwslou32G5KONrmebFaohJjsPL5uXU+fBSgSRQq6rD1CZ4d730Y&#10;XZ9dUvqgZLOTSiXF7eutcuTIcEx26Tuj+6mbMqTH8Nf5VT5SMDX6KUaevr9haBlw4JXUFV1dnFgZ&#10;iftgGsyTlYFJNcpYnjJnJiN5I41hqAd0jPTW0JyQUwfjYOMiotCB+0VJj0NdUf/zwJygRH0y2Jfr&#10;+WIRtyApi6tlgYqbWuqphRmOUBUNlIziNoybc7BO7juMNE6CgVvsZSsTyy9ZnfPGwU19Oi9Z3Iyp&#10;nrxefgWbJwAAAP//AwBQSwMEFAAGAAgAAAAhAEEZlobdAAAACgEAAA8AAABkcnMvZG93bnJldi54&#10;bWxMj8FOg0AQhu8mvsNmTLy1SwlVoCyNMZGzbTVeF3YKRHaWsFtK397xpMeZ+fPN9xf7xQ5ixsn3&#10;jhRs1hEIpMaZnloFH6e3VQrCB01GD45QwQ097Mv7u0Lnxl3pgPMxtIIh5HOtoAthzKX0TYdW+7Ub&#10;kfh2dpPVgceplWbSV4bbQcZR9CSt7ok/dHrE1w6b7+PFKtj6r/dkvtV916aflawWe0hOlVKPD8vL&#10;DkTAJfyF4Vef1aFkp9pdyHgxMCOOuUtQsEqzDAQnsm3Cm1rBc7wBWRbyf4XyBwAA//8DAFBLAQIt&#10;ABQABgAIAAAAIQDkmcPA+wAAAOEBAAATAAAAAAAAAAAAAAAAAAAAAABbQ29udGVudF9UeXBlc10u&#10;eG1sUEsBAi0AFAAGAAgAAAAhACOyauHXAAAAlAEAAAsAAAAAAAAAAAAAAAAALAEAAF9yZWxzLy5y&#10;ZWxzUEsBAi0AFAAGAAgAAAAhABfLkMMqAgAAUgQAAA4AAAAAAAAAAAAAAAAALAIAAGRycy9lMm9E&#10;b2MueG1sUEsBAi0AFAAGAAgAAAAhAEEZlobdAAAACgEAAA8AAAAAAAAAAAAAAAAAggQAAGRycy9k&#10;b3ducmV2LnhtbFBLBQYAAAAABAAEAPMAAACMBQAAAAA=&#10;" strokeweight="1.5pt">
                <v:textbox>
                  <w:txbxContent>
                    <w:p w14:paraId="11A2A994" w14:textId="507B1D8B" w:rsidR="002F196B" w:rsidRDefault="002F196B"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2F196B" w:rsidRPr="00B9504A" w:rsidRDefault="002F196B"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2F196B" w:rsidRDefault="002F196B"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2F196B" w:rsidRPr="00B9504A" w:rsidRDefault="002F196B"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2F196B" w:rsidRPr="00B9504A" w:rsidRDefault="002F196B"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2F196B" w:rsidRPr="00B9504A" w:rsidRDefault="002F196B"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2F196B" w:rsidRPr="008D630A" w:rsidRDefault="002F196B"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54092F37" w:rsidR="00696C2C" w:rsidRDefault="008F0418" w:rsidP="00696C2C">
            <w:pPr>
              <w:rPr>
                <w:rFonts w:asciiTheme="majorHAnsi" w:hAnsiTheme="majorHAnsi" w:cs="Arial"/>
                <w:sz w:val="22"/>
                <w:szCs w:val="22"/>
                <w:lang w:val="en-CA"/>
              </w:rPr>
            </w:pPr>
            <w:r>
              <w:rPr>
                <w:rFonts w:asciiTheme="majorHAnsi" w:hAnsiTheme="majorHAnsi"/>
                <w:b/>
                <w:sz w:val="22"/>
                <w:szCs w:val="22"/>
                <w:u w:val="single"/>
              </w:rPr>
              <w:t>Overview</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734B7608" w:rsidR="000903BD" w:rsidRDefault="00FA5C5D"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In 537 B.C., Daniel sees an angel “clothed in linen, whose loins were belted with gold of </w:t>
            </w:r>
            <w:proofErr w:type="spellStart"/>
            <w:r>
              <w:rPr>
                <w:rFonts w:ascii="Calibri" w:hAnsi="Calibri"/>
                <w:sz w:val="22"/>
                <w:szCs w:val="22"/>
                <w:lang w:val="en-CA"/>
              </w:rPr>
              <w:t>U’phaz</w:t>
            </w:r>
            <w:proofErr w:type="spellEnd"/>
            <w:r>
              <w:rPr>
                <w:rFonts w:ascii="Calibri" w:hAnsi="Calibri"/>
                <w:sz w:val="22"/>
                <w:szCs w:val="22"/>
                <w:lang w:val="en-CA"/>
              </w:rPr>
              <w:t xml:space="preserve">”.  It is recorded that </w:t>
            </w:r>
            <w:r w:rsidR="00967960">
              <w:rPr>
                <w:rFonts w:ascii="Calibri" w:hAnsi="Calibri"/>
                <w:sz w:val="22"/>
                <w:szCs w:val="22"/>
                <w:lang w:val="en-CA"/>
              </w:rPr>
              <w:t xml:space="preserve">the patron angel of Persia “withstood” him </w:t>
            </w:r>
            <w:r>
              <w:rPr>
                <w:rFonts w:ascii="Calibri" w:hAnsi="Calibri"/>
                <w:sz w:val="22"/>
                <w:szCs w:val="22"/>
                <w:lang w:val="en-CA"/>
              </w:rPr>
              <w:t xml:space="preserve">for 21 days and is freed with the help of Michael the Archangel so he could meet with Daniel.  </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45B45226" w14:textId="77777777" w:rsidR="00E2415B" w:rsidRDefault="00FA5C5D" w:rsidP="008573A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vision pertaining to Israel “is for days yet to come”.  The prophecy concerns events under the reigns of the Persian and Greek Empires.  </w:t>
            </w:r>
            <w:r w:rsidR="008A276E">
              <w:rPr>
                <w:rFonts w:ascii="Calibri" w:hAnsi="Calibri"/>
                <w:sz w:val="22"/>
                <w:szCs w:val="22"/>
                <w:lang w:val="en-CA"/>
              </w:rPr>
              <w:t xml:space="preserve">  </w:t>
            </w:r>
          </w:p>
          <w:p w14:paraId="31C0434A" w14:textId="77777777" w:rsidR="00FA5C5D" w:rsidRPr="00FA5C5D" w:rsidRDefault="00FA5C5D" w:rsidP="00FA5C5D">
            <w:pPr>
              <w:widowControl w:val="0"/>
              <w:autoSpaceDE w:val="0"/>
              <w:autoSpaceDN w:val="0"/>
              <w:adjustRightInd w:val="0"/>
              <w:jc w:val="both"/>
              <w:rPr>
                <w:rFonts w:ascii="Calibri" w:hAnsi="Calibri"/>
                <w:sz w:val="22"/>
                <w:szCs w:val="22"/>
                <w:lang w:val="en-CA"/>
              </w:rPr>
            </w:pPr>
          </w:p>
          <w:p w14:paraId="7E050C62" w14:textId="16CD2BF9" w:rsidR="00FA5C5D" w:rsidRPr="00E2415B" w:rsidRDefault="00FA5C5D" w:rsidP="00F92B2D">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Persian Empire is succeeded by the Greek Empire; however, after the death of Alexander the Great, his vast Empire was divided up among four of his generals, his dominion was thus inherited, not by his posterity, but by “others” who were not his sons.  This is followed by a long-standing conflict between the “king of the south”, that is, Ptolemaic </w:t>
            </w:r>
            <w:r w:rsidR="00F92B2D">
              <w:rPr>
                <w:rFonts w:ascii="Calibri" w:hAnsi="Calibri"/>
                <w:sz w:val="22"/>
                <w:szCs w:val="22"/>
                <w:lang w:val="en-CA"/>
              </w:rPr>
              <w:t>D</w:t>
            </w:r>
            <w:r>
              <w:rPr>
                <w:rFonts w:ascii="Calibri" w:hAnsi="Calibri"/>
                <w:sz w:val="22"/>
                <w:szCs w:val="22"/>
                <w:lang w:val="en-CA"/>
              </w:rPr>
              <w:t>ynasty of Egypt, and “king of the</w:t>
            </w:r>
            <w:r w:rsidR="00F92B2D">
              <w:rPr>
                <w:rFonts w:ascii="Calibri" w:hAnsi="Calibri"/>
                <w:sz w:val="22"/>
                <w:szCs w:val="22"/>
                <w:lang w:val="en-CA"/>
              </w:rPr>
              <w:t xml:space="preserve"> north”, that is, </w:t>
            </w:r>
            <w:proofErr w:type="spellStart"/>
            <w:r w:rsidR="00F92B2D">
              <w:rPr>
                <w:rFonts w:ascii="Calibri" w:hAnsi="Calibri"/>
                <w:sz w:val="22"/>
                <w:szCs w:val="22"/>
                <w:lang w:val="en-CA"/>
              </w:rPr>
              <w:t>Seleucus</w:t>
            </w:r>
            <w:proofErr w:type="spellEnd"/>
            <w:r>
              <w:rPr>
                <w:rFonts w:ascii="Calibri" w:hAnsi="Calibri"/>
                <w:sz w:val="22"/>
                <w:szCs w:val="22"/>
                <w:lang w:val="en-CA"/>
              </w:rPr>
              <w:t xml:space="preserve"> </w:t>
            </w:r>
            <w:r w:rsidR="00F92B2D">
              <w:rPr>
                <w:rFonts w:ascii="Calibri" w:hAnsi="Calibri"/>
                <w:sz w:val="22"/>
                <w:szCs w:val="22"/>
                <w:lang w:val="en-CA"/>
              </w:rPr>
              <w:t>D</w:t>
            </w:r>
            <w:r>
              <w:rPr>
                <w:rFonts w:ascii="Calibri" w:hAnsi="Calibri"/>
                <w:sz w:val="22"/>
                <w:szCs w:val="22"/>
                <w:lang w:val="en-CA"/>
              </w:rPr>
              <w:t xml:space="preserve">ynasty of Syria.  </w:t>
            </w:r>
            <w:r w:rsidR="00F92B2D">
              <w:rPr>
                <w:rFonts w:ascii="Calibri" w:hAnsi="Calibri"/>
                <w:sz w:val="22"/>
                <w:szCs w:val="22"/>
                <w:lang w:val="en-CA"/>
              </w:rPr>
              <w:t xml:space="preserve">Eventually, Antiochus III defeated his Ptolemaic rival and bringing Palestine under Seleucid control.  “He shall bring terms of peace and perform them.  He shall give him the daughter of women to destroy the kingdom”.  Unfortunately, he failed.  </w:t>
            </w:r>
          </w:p>
        </w:tc>
        <w:tc>
          <w:tcPr>
            <w:tcW w:w="2330" w:type="dxa"/>
          </w:tcPr>
          <w:p w14:paraId="34BA4D13" w14:textId="652BBA6E" w:rsidR="008B7E8D" w:rsidRDefault="00BA64C4" w:rsidP="008B7E8D">
            <w:pPr>
              <w:rPr>
                <w:rFonts w:ascii="Calibri" w:hAnsi="Calibri" w:cs="Arial"/>
                <w:sz w:val="22"/>
                <w:szCs w:val="22"/>
              </w:rPr>
            </w:pPr>
            <w:r>
              <w:rPr>
                <w:rFonts w:ascii="Calibri" w:hAnsi="Calibri" w:cs="Arial"/>
                <w:sz w:val="22"/>
                <w:szCs w:val="22"/>
              </w:rPr>
              <w:t xml:space="preserve">Dan </w:t>
            </w:r>
            <w:r w:rsidR="00FA5C5D">
              <w:rPr>
                <w:rFonts w:ascii="Calibri" w:hAnsi="Calibri" w:cs="Arial"/>
                <w:sz w:val="22"/>
                <w:szCs w:val="22"/>
              </w:rPr>
              <w:t>10 – 11:19</w:t>
            </w:r>
          </w:p>
          <w:p w14:paraId="0E21F9F1" w14:textId="77777777" w:rsidR="003963FA" w:rsidRDefault="003963FA" w:rsidP="008B7E8D">
            <w:pPr>
              <w:rPr>
                <w:rFonts w:ascii="Calibri" w:hAnsi="Calibri" w:cs="Arial"/>
                <w:sz w:val="22"/>
                <w:szCs w:val="22"/>
              </w:rPr>
            </w:pPr>
          </w:p>
          <w:p w14:paraId="686E7466" w14:textId="4EF2BFCE" w:rsidR="00D2136D" w:rsidRDefault="00FA5C5D" w:rsidP="0051552E">
            <w:pPr>
              <w:rPr>
                <w:rFonts w:ascii="Calibri" w:hAnsi="Calibri" w:cs="Arial"/>
                <w:sz w:val="22"/>
                <w:szCs w:val="22"/>
              </w:rPr>
            </w:pPr>
            <w:r>
              <w:rPr>
                <w:rFonts w:ascii="Calibri" w:hAnsi="Calibri" w:cs="Arial"/>
                <w:sz w:val="22"/>
                <w:szCs w:val="22"/>
              </w:rPr>
              <w:t>10:1-13</w:t>
            </w:r>
          </w:p>
          <w:p w14:paraId="70746C48" w14:textId="77777777" w:rsidR="006C2152" w:rsidRDefault="006C2152" w:rsidP="0051552E">
            <w:pPr>
              <w:rPr>
                <w:rFonts w:ascii="Calibri" w:hAnsi="Calibri" w:cs="Arial"/>
                <w:sz w:val="22"/>
                <w:szCs w:val="22"/>
              </w:rPr>
            </w:pPr>
          </w:p>
          <w:p w14:paraId="3D6AF055" w14:textId="77777777" w:rsidR="006C2152" w:rsidRDefault="006C2152" w:rsidP="0051552E">
            <w:pPr>
              <w:rPr>
                <w:rFonts w:ascii="Calibri" w:hAnsi="Calibri" w:cs="Arial"/>
                <w:sz w:val="22"/>
                <w:szCs w:val="22"/>
              </w:rPr>
            </w:pPr>
          </w:p>
          <w:p w14:paraId="4A92AF31" w14:textId="77777777" w:rsidR="006C2152" w:rsidRDefault="006C2152" w:rsidP="0051552E">
            <w:pPr>
              <w:rPr>
                <w:rFonts w:ascii="Calibri" w:hAnsi="Calibri" w:cs="Arial"/>
                <w:sz w:val="22"/>
                <w:szCs w:val="22"/>
              </w:rPr>
            </w:pPr>
          </w:p>
          <w:p w14:paraId="7857BB1F" w14:textId="77777777" w:rsidR="006C2152" w:rsidRDefault="006C2152" w:rsidP="0051552E">
            <w:pPr>
              <w:rPr>
                <w:rFonts w:ascii="Calibri" w:hAnsi="Calibri" w:cs="Arial"/>
                <w:sz w:val="22"/>
                <w:szCs w:val="22"/>
              </w:rPr>
            </w:pPr>
          </w:p>
          <w:p w14:paraId="58B289AC" w14:textId="7488B78F" w:rsidR="006C2152" w:rsidRDefault="00FA5C5D" w:rsidP="0051552E">
            <w:pPr>
              <w:rPr>
                <w:rFonts w:ascii="Calibri" w:hAnsi="Calibri" w:cs="Arial"/>
                <w:sz w:val="22"/>
                <w:szCs w:val="22"/>
              </w:rPr>
            </w:pPr>
            <w:r>
              <w:rPr>
                <w:rFonts w:ascii="Calibri" w:hAnsi="Calibri" w:cs="Arial"/>
                <w:sz w:val="22"/>
                <w:szCs w:val="22"/>
              </w:rPr>
              <w:t>10:14 – 11:1</w:t>
            </w:r>
          </w:p>
          <w:p w14:paraId="3BF6EBB3" w14:textId="77777777" w:rsidR="00FA5C5D" w:rsidRDefault="00FA5C5D" w:rsidP="0051552E">
            <w:pPr>
              <w:rPr>
                <w:rFonts w:ascii="Calibri" w:hAnsi="Calibri" w:cs="Arial"/>
                <w:sz w:val="22"/>
                <w:szCs w:val="22"/>
              </w:rPr>
            </w:pPr>
          </w:p>
          <w:p w14:paraId="00CBF561" w14:textId="77777777" w:rsidR="006C2152" w:rsidRDefault="006C2152" w:rsidP="0051552E">
            <w:pPr>
              <w:rPr>
                <w:rFonts w:ascii="Calibri" w:hAnsi="Calibri" w:cs="Arial"/>
                <w:sz w:val="22"/>
                <w:szCs w:val="22"/>
              </w:rPr>
            </w:pPr>
          </w:p>
          <w:p w14:paraId="581CA029" w14:textId="77777777" w:rsidR="006C2152" w:rsidRDefault="00F92B2D" w:rsidP="0051552E">
            <w:pPr>
              <w:rPr>
                <w:rFonts w:ascii="Calibri" w:hAnsi="Calibri" w:cs="Arial"/>
                <w:sz w:val="22"/>
                <w:szCs w:val="22"/>
              </w:rPr>
            </w:pPr>
            <w:r>
              <w:rPr>
                <w:rFonts w:ascii="Calibri" w:hAnsi="Calibri" w:cs="Arial"/>
                <w:sz w:val="22"/>
                <w:szCs w:val="22"/>
              </w:rPr>
              <w:t>11:2-19</w:t>
            </w:r>
          </w:p>
          <w:p w14:paraId="73BE9F92" w14:textId="77777777" w:rsidR="00F92B2D" w:rsidRDefault="00F92B2D" w:rsidP="0051552E">
            <w:pPr>
              <w:rPr>
                <w:rFonts w:ascii="Calibri" w:hAnsi="Calibri" w:cs="Arial"/>
                <w:sz w:val="22"/>
                <w:szCs w:val="22"/>
              </w:rPr>
            </w:pPr>
          </w:p>
          <w:p w14:paraId="72FC8AC3" w14:textId="77777777" w:rsidR="00F92B2D" w:rsidRDefault="00F92B2D" w:rsidP="0051552E">
            <w:pPr>
              <w:rPr>
                <w:rFonts w:ascii="Calibri" w:hAnsi="Calibri" w:cs="Arial"/>
                <w:sz w:val="22"/>
                <w:szCs w:val="22"/>
              </w:rPr>
            </w:pPr>
          </w:p>
          <w:p w14:paraId="5D645C3D" w14:textId="77777777" w:rsidR="00F92B2D" w:rsidRDefault="00F92B2D" w:rsidP="0051552E">
            <w:pPr>
              <w:rPr>
                <w:rFonts w:ascii="Calibri" w:hAnsi="Calibri" w:cs="Arial"/>
                <w:sz w:val="22"/>
                <w:szCs w:val="22"/>
              </w:rPr>
            </w:pPr>
          </w:p>
          <w:p w14:paraId="6E3384AC" w14:textId="77777777" w:rsidR="00F92B2D" w:rsidRDefault="00F92B2D" w:rsidP="0051552E">
            <w:pPr>
              <w:rPr>
                <w:rFonts w:ascii="Calibri" w:hAnsi="Calibri" w:cs="Arial"/>
                <w:sz w:val="22"/>
                <w:szCs w:val="22"/>
              </w:rPr>
            </w:pPr>
          </w:p>
          <w:p w14:paraId="4975A5A2" w14:textId="77777777" w:rsidR="00F92B2D" w:rsidRDefault="00F92B2D" w:rsidP="0051552E">
            <w:pPr>
              <w:rPr>
                <w:rFonts w:ascii="Calibri" w:hAnsi="Calibri" w:cs="Arial"/>
                <w:sz w:val="22"/>
                <w:szCs w:val="22"/>
              </w:rPr>
            </w:pPr>
          </w:p>
          <w:p w14:paraId="4160081A" w14:textId="77777777" w:rsidR="00F92B2D" w:rsidRDefault="00F92B2D" w:rsidP="0051552E">
            <w:pPr>
              <w:rPr>
                <w:rFonts w:ascii="Calibri" w:hAnsi="Calibri" w:cs="Arial"/>
                <w:sz w:val="22"/>
                <w:szCs w:val="22"/>
              </w:rPr>
            </w:pPr>
          </w:p>
          <w:p w14:paraId="1C239587" w14:textId="77777777" w:rsidR="00F92B2D" w:rsidRDefault="00F92B2D" w:rsidP="0051552E">
            <w:pPr>
              <w:rPr>
                <w:rFonts w:ascii="Calibri" w:hAnsi="Calibri" w:cs="Arial"/>
                <w:sz w:val="22"/>
                <w:szCs w:val="22"/>
              </w:rPr>
            </w:pPr>
          </w:p>
          <w:p w14:paraId="1C2C2BD8" w14:textId="77777777" w:rsidR="00F92B2D" w:rsidRDefault="00F92B2D" w:rsidP="0051552E">
            <w:pPr>
              <w:rPr>
                <w:rFonts w:ascii="Calibri" w:hAnsi="Calibri" w:cs="Arial"/>
                <w:sz w:val="22"/>
                <w:szCs w:val="22"/>
              </w:rPr>
            </w:pPr>
          </w:p>
          <w:p w14:paraId="659AC21A" w14:textId="77777777" w:rsidR="00F92B2D" w:rsidRDefault="00F92B2D" w:rsidP="0051552E">
            <w:pPr>
              <w:rPr>
                <w:rFonts w:ascii="Calibri" w:hAnsi="Calibri" w:cs="Arial"/>
                <w:sz w:val="22"/>
                <w:szCs w:val="22"/>
              </w:rPr>
            </w:pPr>
          </w:p>
          <w:p w14:paraId="798AB905" w14:textId="143EF950" w:rsidR="00F92B2D" w:rsidRPr="008D630A" w:rsidRDefault="00F92B2D" w:rsidP="0051552E">
            <w:pPr>
              <w:rPr>
                <w:rFonts w:ascii="Calibri" w:hAnsi="Calibri" w:cs="Arial"/>
                <w:sz w:val="22"/>
                <w:szCs w:val="22"/>
              </w:rPr>
            </w:pPr>
          </w:p>
        </w:tc>
      </w:tr>
      <w:tr w:rsidR="002F44A9" w:rsidRPr="008D630A" w14:paraId="3F90C389" w14:textId="77777777" w:rsidTr="00C344C5">
        <w:tc>
          <w:tcPr>
            <w:tcW w:w="515" w:type="dxa"/>
          </w:tcPr>
          <w:p w14:paraId="593A907E" w14:textId="5D39214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3476DDD8" w:rsidR="00B03C9E" w:rsidRPr="008D630A" w:rsidRDefault="008A276E"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History of the Prophecy and </w:t>
            </w:r>
            <w:r w:rsidR="00F92B2D">
              <w:rPr>
                <w:rFonts w:ascii="Calibri" w:hAnsi="Calibri"/>
                <w:b/>
                <w:color w:val="010000"/>
                <w:sz w:val="22"/>
                <w:szCs w:val="22"/>
                <w:u w:val="single"/>
                <w:shd w:val="clear" w:color="auto" w:fill="FFFFFF"/>
              </w:rPr>
              <w:t xml:space="preserve">Historical </w:t>
            </w:r>
            <w:r>
              <w:rPr>
                <w:rFonts w:ascii="Calibri" w:hAnsi="Calibri"/>
                <w:b/>
                <w:color w:val="010000"/>
                <w:sz w:val="22"/>
                <w:szCs w:val="22"/>
                <w:u w:val="single"/>
                <w:shd w:val="clear" w:color="auto" w:fill="FFFFFF"/>
              </w:rPr>
              <w:t>Context</w:t>
            </w:r>
          </w:p>
          <w:p w14:paraId="177A87CA" w14:textId="77777777" w:rsidR="00B03C9E" w:rsidRPr="008D630A" w:rsidRDefault="00B03C9E" w:rsidP="00B03C9E">
            <w:pPr>
              <w:jc w:val="both"/>
              <w:rPr>
                <w:rFonts w:ascii="Calibri" w:hAnsi="Calibri" w:cs="Arial"/>
                <w:sz w:val="22"/>
                <w:szCs w:val="22"/>
                <w:u w:val="single"/>
              </w:rPr>
            </w:pPr>
          </w:p>
          <w:p w14:paraId="6A88042B" w14:textId="71323962" w:rsidR="00AA2EAC" w:rsidRPr="005559E8" w:rsidRDefault="00F92B2D"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 xml:space="preserve">“In the third year of Cyrus king of Persia” </w:t>
            </w:r>
            <w:r w:rsidR="00C339AE">
              <w:rPr>
                <w:rFonts w:asciiTheme="majorHAnsi" w:hAnsiTheme="majorHAnsi" w:cs="Helvetica"/>
                <w:sz w:val="22"/>
                <w:szCs w:val="22"/>
              </w:rPr>
              <w:t>–</w:t>
            </w:r>
            <w:r>
              <w:rPr>
                <w:rFonts w:asciiTheme="majorHAnsi" w:hAnsiTheme="majorHAnsi" w:cs="Helvetica"/>
                <w:sz w:val="22"/>
                <w:szCs w:val="22"/>
              </w:rPr>
              <w:t xml:space="preserve"> </w:t>
            </w:r>
            <w:r w:rsidR="00C339AE">
              <w:rPr>
                <w:rFonts w:asciiTheme="majorHAnsi" w:hAnsiTheme="majorHAnsi" w:cs="Helvetica"/>
                <w:sz w:val="22"/>
                <w:szCs w:val="22"/>
              </w:rPr>
              <w:t xml:space="preserve">the third year since Cyrus II conquered Babylon and claimed it for </w:t>
            </w:r>
            <w:proofErr w:type="spellStart"/>
            <w:r w:rsidR="00C339AE">
              <w:rPr>
                <w:rFonts w:asciiTheme="majorHAnsi" w:hAnsiTheme="majorHAnsi" w:cs="Helvetica"/>
                <w:sz w:val="22"/>
                <w:szCs w:val="22"/>
              </w:rPr>
              <w:t>Medo</w:t>
            </w:r>
            <w:proofErr w:type="spellEnd"/>
            <w:r w:rsidR="00C339AE">
              <w:rPr>
                <w:rFonts w:asciiTheme="majorHAnsi" w:hAnsiTheme="majorHAnsi" w:cs="Helvetica"/>
                <w:sz w:val="22"/>
                <w:szCs w:val="22"/>
              </w:rPr>
              <w:t>-Persia in 537 B.C</w:t>
            </w:r>
            <w:proofErr w:type="gramStart"/>
            <w:r w:rsidR="00C339AE">
              <w:rPr>
                <w:rFonts w:asciiTheme="majorHAnsi" w:hAnsiTheme="majorHAnsi" w:cs="Helvetica"/>
                <w:sz w:val="22"/>
                <w:szCs w:val="22"/>
              </w:rPr>
              <w:t>..</w:t>
            </w:r>
            <w:proofErr w:type="gramEnd"/>
            <w:r w:rsidR="00C339AE">
              <w:rPr>
                <w:rFonts w:asciiTheme="majorHAnsi" w:hAnsiTheme="majorHAnsi" w:cs="Helvetica"/>
                <w:sz w:val="22"/>
                <w:szCs w:val="22"/>
              </w:rPr>
              <w:t xml:space="preserve">  Daniels’s vision concerns opposition between angels and nations as portrayed in 10:12-21.</w:t>
            </w:r>
          </w:p>
          <w:p w14:paraId="029A1CCE" w14:textId="77777777" w:rsidR="005559E8" w:rsidRPr="005559E8" w:rsidRDefault="005559E8" w:rsidP="005559E8">
            <w:pPr>
              <w:widowControl w:val="0"/>
              <w:autoSpaceDE w:val="0"/>
              <w:autoSpaceDN w:val="0"/>
              <w:adjustRightInd w:val="0"/>
              <w:ind w:left="72"/>
              <w:jc w:val="both"/>
              <w:rPr>
                <w:rFonts w:asciiTheme="majorHAnsi" w:hAnsiTheme="majorHAnsi" w:cs="Verdana"/>
                <w:color w:val="010000"/>
                <w:sz w:val="22"/>
                <w:szCs w:val="22"/>
              </w:rPr>
            </w:pPr>
          </w:p>
          <w:p w14:paraId="5388A464" w14:textId="4F320A57" w:rsidR="00E53DC1" w:rsidRPr="005F7278" w:rsidRDefault="00C339AE" w:rsidP="005F7278">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sz w:val="22"/>
                <w:szCs w:val="22"/>
                <w:lang w:val="en-CA"/>
              </w:rPr>
              <w:t>The conflict among the angels point to the conflicts among nations from 559 B.C</w:t>
            </w:r>
            <w:proofErr w:type="gramStart"/>
            <w:r>
              <w:rPr>
                <w:rFonts w:ascii="Calibri" w:hAnsi="Calibri"/>
                <w:sz w:val="22"/>
                <w:szCs w:val="22"/>
                <w:lang w:val="en-CA"/>
              </w:rPr>
              <w:t>. ,</w:t>
            </w:r>
            <w:proofErr w:type="gramEnd"/>
            <w:r>
              <w:rPr>
                <w:rFonts w:ascii="Calibri" w:hAnsi="Calibri"/>
                <w:sz w:val="22"/>
                <w:szCs w:val="22"/>
                <w:lang w:val="en-CA"/>
              </w:rPr>
              <w:t xml:space="preserve"> Cyrus II of Persia ,to 164 B.C., Antiochus IV who is seen as a type of Antichrist.  The vision found here, though similar to the vision described in Chapter 9, contains more detailed descriptions.  </w:t>
            </w:r>
          </w:p>
          <w:p w14:paraId="71C17AFA" w14:textId="33E83622" w:rsidR="000E1266" w:rsidRPr="005F7278" w:rsidRDefault="000E1266" w:rsidP="005F7278">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7530DB86" w14:textId="77777777" w:rsidR="00E53DC1" w:rsidRDefault="00E53DC1" w:rsidP="00AC4372">
            <w:pPr>
              <w:rPr>
                <w:rFonts w:ascii="Calibri" w:hAnsi="Calibri" w:cs="Arial"/>
                <w:sz w:val="22"/>
                <w:szCs w:val="22"/>
              </w:rPr>
            </w:pPr>
          </w:p>
          <w:p w14:paraId="13E4310C" w14:textId="77777777" w:rsidR="005F7278" w:rsidRDefault="005F7278" w:rsidP="005F7278">
            <w:pPr>
              <w:rPr>
                <w:rFonts w:ascii="Calibri" w:hAnsi="Calibri" w:cs="Arial"/>
                <w:sz w:val="22"/>
                <w:szCs w:val="22"/>
              </w:rPr>
            </w:pPr>
          </w:p>
          <w:p w14:paraId="4DC38392" w14:textId="77777777" w:rsidR="00F92B2D" w:rsidRDefault="00F92B2D" w:rsidP="005F7278">
            <w:pPr>
              <w:rPr>
                <w:rFonts w:ascii="Calibri" w:hAnsi="Calibri" w:cs="Arial"/>
                <w:sz w:val="22"/>
                <w:szCs w:val="22"/>
              </w:rPr>
            </w:pPr>
            <w:r>
              <w:rPr>
                <w:rFonts w:ascii="Calibri" w:hAnsi="Calibri" w:cs="Arial"/>
                <w:sz w:val="22"/>
                <w:szCs w:val="22"/>
              </w:rPr>
              <w:t>10:1 CSB</w:t>
            </w:r>
          </w:p>
          <w:p w14:paraId="609B5B51" w14:textId="77777777" w:rsidR="00C339AE" w:rsidRDefault="00C339AE" w:rsidP="005F7278">
            <w:pPr>
              <w:rPr>
                <w:rFonts w:ascii="Calibri" w:hAnsi="Calibri" w:cs="Arial"/>
                <w:sz w:val="22"/>
                <w:szCs w:val="22"/>
              </w:rPr>
            </w:pPr>
          </w:p>
          <w:p w14:paraId="430B261D" w14:textId="77777777" w:rsidR="00C339AE" w:rsidRDefault="00C339AE" w:rsidP="005F7278">
            <w:pPr>
              <w:rPr>
                <w:rFonts w:ascii="Calibri" w:hAnsi="Calibri" w:cs="Arial"/>
                <w:sz w:val="22"/>
                <w:szCs w:val="22"/>
              </w:rPr>
            </w:pPr>
          </w:p>
          <w:p w14:paraId="1DC211C3" w14:textId="77777777" w:rsidR="00C339AE" w:rsidRDefault="00C339AE" w:rsidP="005F7278">
            <w:pPr>
              <w:rPr>
                <w:rFonts w:ascii="Calibri" w:hAnsi="Calibri" w:cs="Arial"/>
                <w:sz w:val="22"/>
                <w:szCs w:val="22"/>
              </w:rPr>
            </w:pPr>
          </w:p>
          <w:p w14:paraId="3930168B" w14:textId="77777777" w:rsidR="00C339AE" w:rsidRDefault="00C339AE" w:rsidP="005F7278">
            <w:pPr>
              <w:rPr>
                <w:rFonts w:ascii="Calibri" w:hAnsi="Calibri" w:cs="Arial"/>
                <w:sz w:val="22"/>
                <w:szCs w:val="22"/>
              </w:rPr>
            </w:pPr>
          </w:p>
          <w:p w14:paraId="0EFA9E1F" w14:textId="2029702D" w:rsidR="00C339AE" w:rsidRPr="00FE1820" w:rsidRDefault="00C339AE" w:rsidP="005F7278">
            <w:pPr>
              <w:rPr>
                <w:rFonts w:ascii="Calibri" w:hAnsi="Calibri" w:cs="Arial"/>
                <w:sz w:val="22"/>
                <w:szCs w:val="22"/>
              </w:rPr>
            </w:pPr>
            <w:proofErr w:type="gramStart"/>
            <w:r>
              <w:rPr>
                <w:rFonts w:ascii="Calibri" w:hAnsi="Calibri" w:cs="Arial"/>
                <w:sz w:val="22"/>
                <w:szCs w:val="22"/>
              </w:rPr>
              <w:t>see</w:t>
            </w:r>
            <w:proofErr w:type="gramEnd"/>
            <w:r>
              <w:rPr>
                <w:rFonts w:ascii="Calibri" w:hAnsi="Calibri" w:cs="Arial"/>
                <w:sz w:val="22"/>
                <w:szCs w:val="22"/>
              </w:rPr>
              <w:t xml:space="preserve"> CSB 10:1 – 12:13</w:t>
            </w:r>
          </w:p>
        </w:tc>
      </w:tr>
      <w:tr w:rsidR="004454B2" w:rsidRPr="008D630A" w14:paraId="79A9A1E5" w14:textId="77777777" w:rsidTr="00AA6F44">
        <w:tc>
          <w:tcPr>
            <w:tcW w:w="515" w:type="dxa"/>
          </w:tcPr>
          <w:p w14:paraId="4A94827E" w14:textId="0D9BC9A7" w:rsidR="004454B2" w:rsidRPr="008D630A" w:rsidRDefault="00B03C9E" w:rsidP="00B109C6">
            <w:pPr>
              <w:jc w:val="center"/>
              <w:rPr>
                <w:rFonts w:ascii="Calibri" w:hAnsi="Calibri" w:cs="Arial"/>
                <w:b/>
                <w:sz w:val="22"/>
                <w:szCs w:val="22"/>
              </w:rPr>
            </w:pPr>
            <w:r>
              <w:rPr>
                <w:rFonts w:ascii="Calibri" w:hAnsi="Calibri" w:cs="Arial"/>
                <w:b/>
                <w:sz w:val="22"/>
                <w:szCs w:val="22"/>
              </w:rPr>
              <w:t>C</w:t>
            </w:r>
          </w:p>
        </w:tc>
        <w:tc>
          <w:tcPr>
            <w:tcW w:w="7235" w:type="dxa"/>
          </w:tcPr>
          <w:p w14:paraId="612B3833" w14:textId="17193BA4" w:rsidR="004454B2" w:rsidRDefault="00C339AE" w:rsidP="007D0D91">
            <w:pPr>
              <w:jc w:val="both"/>
              <w:rPr>
                <w:rFonts w:ascii="Calibri" w:hAnsi="Calibri" w:cs="Arial"/>
                <w:b/>
                <w:sz w:val="22"/>
                <w:szCs w:val="22"/>
                <w:u w:val="single"/>
              </w:rPr>
            </w:pPr>
            <w:r>
              <w:rPr>
                <w:rFonts w:ascii="Calibri" w:hAnsi="Calibri" w:cs="Arial"/>
                <w:b/>
                <w:sz w:val="22"/>
                <w:szCs w:val="22"/>
                <w:u w:val="single"/>
              </w:rPr>
              <w:t>Daniel’s Encounter with the Angel</w:t>
            </w:r>
          </w:p>
          <w:p w14:paraId="49C71A58" w14:textId="77777777" w:rsidR="004454B2" w:rsidRDefault="004454B2" w:rsidP="004454B2">
            <w:pPr>
              <w:jc w:val="both"/>
              <w:rPr>
                <w:rFonts w:ascii="Calibri" w:eastAsia="SimSun" w:hAnsi="Calibri" w:cs="Arial"/>
                <w:sz w:val="22"/>
                <w:szCs w:val="22"/>
                <w:lang w:eastAsia="zh-CN"/>
              </w:rPr>
            </w:pPr>
          </w:p>
          <w:p w14:paraId="500A2E2F" w14:textId="1CE4CA8D" w:rsidR="004C1B3E" w:rsidRPr="000F261E" w:rsidRDefault="00C339AE" w:rsidP="004C1B3E">
            <w:pPr>
              <w:pStyle w:val="ListParagraph"/>
              <w:widowControl w:val="0"/>
              <w:numPr>
                <w:ilvl w:val="0"/>
                <w:numId w:val="19"/>
              </w:numPr>
              <w:autoSpaceDE w:val="0"/>
              <w:autoSpaceDN w:val="0"/>
              <w:adjustRightInd w:val="0"/>
              <w:jc w:val="both"/>
              <w:rPr>
                <w:rFonts w:ascii="Calibri" w:hAnsi="Calibri" w:cs="Arial"/>
                <w:sz w:val="22"/>
                <w:szCs w:val="22"/>
              </w:rPr>
            </w:pPr>
            <w:r w:rsidRPr="000F261E">
              <w:rPr>
                <w:rFonts w:asciiTheme="majorHAnsi" w:hAnsiTheme="majorHAnsi" w:cs="Verdana"/>
                <w:color w:val="010000"/>
                <w:sz w:val="22"/>
                <w:szCs w:val="22"/>
              </w:rPr>
              <w:t xml:space="preserve">Daniel sees </w:t>
            </w:r>
            <w:r w:rsidRPr="000F261E">
              <w:rPr>
                <w:rFonts w:ascii="Calibri" w:hAnsi="Calibri"/>
                <w:sz w:val="22"/>
                <w:szCs w:val="22"/>
                <w:lang w:val="en-CA"/>
              </w:rPr>
              <w:t xml:space="preserve">an angel “clothed in linen, whose loins were belted with gold of </w:t>
            </w:r>
            <w:proofErr w:type="spellStart"/>
            <w:r w:rsidRPr="000F261E">
              <w:rPr>
                <w:rFonts w:ascii="Calibri" w:hAnsi="Calibri"/>
                <w:sz w:val="22"/>
                <w:szCs w:val="22"/>
                <w:lang w:val="en-CA"/>
              </w:rPr>
              <w:t>U’phaz</w:t>
            </w:r>
            <w:proofErr w:type="spellEnd"/>
            <w:r w:rsidRPr="000F261E">
              <w:rPr>
                <w:rFonts w:ascii="Calibri" w:hAnsi="Calibri"/>
                <w:sz w:val="22"/>
                <w:szCs w:val="22"/>
                <w:lang w:val="en-CA"/>
              </w:rPr>
              <w:t>”.  Angels are spiritual b</w:t>
            </w:r>
            <w:r w:rsidR="000F261E" w:rsidRPr="000F261E">
              <w:rPr>
                <w:rFonts w:ascii="Calibri" w:hAnsi="Calibri"/>
                <w:sz w:val="22"/>
                <w:szCs w:val="22"/>
                <w:lang w:val="en-CA"/>
              </w:rPr>
              <w:t xml:space="preserve">eings without bodies; however, </w:t>
            </w:r>
            <w:r w:rsidRPr="000F261E">
              <w:rPr>
                <w:rFonts w:ascii="Calibri" w:hAnsi="Calibri"/>
                <w:sz w:val="22"/>
                <w:szCs w:val="22"/>
                <w:lang w:val="en-CA"/>
              </w:rPr>
              <w:t>angel</w:t>
            </w:r>
            <w:r w:rsidR="000F261E" w:rsidRPr="000F261E">
              <w:rPr>
                <w:rFonts w:ascii="Calibri" w:hAnsi="Calibri"/>
                <w:sz w:val="22"/>
                <w:szCs w:val="22"/>
                <w:lang w:val="en-CA"/>
              </w:rPr>
              <w:t>s</w:t>
            </w:r>
            <w:r w:rsidR="000F261E">
              <w:rPr>
                <w:rFonts w:ascii="Calibri" w:hAnsi="Calibri"/>
                <w:sz w:val="22"/>
                <w:szCs w:val="22"/>
                <w:lang w:val="en-CA"/>
              </w:rPr>
              <w:t xml:space="preserve"> </w:t>
            </w:r>
            <w:r w:rsidR="000F261E" w:rsidRPr="000F261E">
              <w:rPr>
                <w:rFonts w:ascii="Calibri" w:hAnsi="Calibri"/>
                <w:sz w:val="22"/>
                <w:szCs w:val="22"/>
                <w:lang w:val="en-CA"/>
              </w:rPr>
              <w:t>often take</w:t>
            </w:r>
            <w:r w:rsidRPr="000F261E">
              <w:rPr>
                <w:rFonts w:ascii="Calibri" w:hAnsi="Calibri"/>
                <w:sz w:val="22"/>
                <w:szCs w:val="22"/>
                <w:lang w:val="en-CA"/>
              </w:rPr>
              <w:t xml:space="preserve"> </w:t>
            </w:r>
            <w:r w:rsidR="000F261E" w:rsidRPr="000F261E">
              <w:rPr>
                <w:rFonts w:ascii="Calibri" w:hAnsi="Calibri"/>
                <w:sz w:val="22"/>
                <w:szCs w:val="22"/>
                <w:lang w:val="en-CA"/>
              </w:rPr>
              <w:t xml:space="preserve">the human form (e.g. Raphael in </w:t>
            </w:r>
            <w:proofErr w:type="spellStart"/>
            <w:r w:rsidR="000F261E" w:rsidRPr="000F261E">
              <w:rPr>
                <w:rFonts w:ascii="Calibri" w:hAnsi="Calibri"/>
                <w:sz w:val="22"/>
                <w:szCs w:val="22"/>
                <w:lang w:val="en-CA"/>
              </w:rPr>
              <w:t>Tobit</w:t>
            </w:r>
            <w:proofErr w:type="spellEnd"/>
            <w:r w:rsidR="000F261E" w:rsidRPr="000F261E">
              <w:rPr>
                <w:rFonts w:ascii="Calibri" w:hAnsi="Calibri"/>
                <w:sz w:val="22"/>
                <w:szCs w:val="22"/>
                <w:lang w:val="en-CA"/>
              </w:rPr>
              <w:t xml:space="preserve"> 12:15) in order to effectively communicate with humans.  </w:t>
            </w:r>
            <w:r w:rsidR="000F261E">
              <w:rPr>
                <w:rFonts w:ascii="Calibri" w:hAnsi="Calibri"/>
                <w:sz w:val="22"/>
                <w:szCs w:val="22"/>
                <w:lang w:val="en-CA"/>
              </w:rPr>
              <w:t>Here, the angel appears as a high priest that symbolizes purity and righteousness (see CSB Rev 15:6).</w:t>
            </w:r>
          </w:p>
          <w:p w14:paraId="13837131" w14:textId="77777777" w:rsidR="004C1B3E" w:rsidRPr="004C1B3E" w:rsidRDefault="004C1B3E" w:rsidP="004C1B3E">
            <w:pPr>
              <w:widowControl w:val="0"/>
              <w:autoSpaceDE w:val="0"/>
              <w:autoSpaceDN w:val="0"/>
              <w:adjustRightInd w:val="0"/>
              <w:jc w:val="both"/>
              <w:rPr>
                <w:rFonts w:ascii="Calibri" w:hAnsi="Calibri" w:cs="Arial"/>
                <w:sz w:val="22"/>
                <w:szCs w:val="22"/>
              </w:rPr>
            </w:pPr>
          </w:p>
          <w:p w14:paraId="4A2D3EA0" w14:textId="738D7EA4" w:rsidR="00D82635" w:rsidRDefault="00E342A5" w:rsidP="00E342A5">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 xml:space="preserve">The contrast of Daniel’s fearful response to the angel </w:t>
            </w:r>
            <w:r w:rsidR="002F196B">
              <w:rPr>
                <w:rFonts w:ascii="Calibri" w:hAnsi="Calibri" w:cs="Arial"/>
                <w:sz w:val="22"/>
                <w:szCs w:val="22"/>
              </w:rPr>
              <w:t>and</w:t>
            </w:r>
            <w:r>
              <w:rPr>
                <w:rFonts w:ascii="Calibri" w:hAnsi="Calibri" w:cs="Arial"/>
                <w:sz w:val="22"/>
                <w:szCs w:val="22"/>
              </w:rPr>
              <w:t xml:space="preserve"> Paul’s response to God’s angel calling him </w:t>
            </w:r>
            <w:r w:rsidR="002F196B">
              <w:rPr>
                <w:rFonts w:ascii="Calibri" w:hAnsi="Calibri" w:cs="Arial"/>
                <w:sz w:val="22"/>
                <w:szCs w:val="22"/>
              </w:rPr>
              <w:t xml:space="preserve">against Mary’s response to Angel Gabriel’s </w:t>
            </w:r>
            <w:r w:rsidR="002F196B">
              <w:rPr>
                <w:rFonts w:ascii="Calibri" w:hAnsi="Calibri" w:cs="Arial"/>
                <w:sz w:val="22"/>
                <w:szCs w:val="22"/>
              </w:rPr>
              <w:lastRenderedPageBreak/>
              <w:t xml:space="preserve">Good </w:t>
            </w:r>
            <w:proofErr w:type="gramStart"/>
            <w:r w:rsidR="002F196B">
              <w:rPr>
                <w:rFonts w:ascii="Calibri" w:hAnsi="Calibri" w:cs="Arial"/>
                <w:sz w:val="22"/>
                <w:szCs w:val="22"/>
              </w:rPr>
              <w:t>News</w:t>
            </w:r>
            <w:bookmarkStart w:id="0" w:name="_GoBack"/>
            <w:bookmarkEnd w:id="0"/>
            <w:r>
              <w:rPr>
                <w:rFonts w:ascii="Calibri" w:hAnsi="Calibri" w:cs="Arial"/>
                <w:sz w:val="22"/>
                <w:szCs w:val="22"/>
              </w:rPr>
              <w:t>,</w:t>
            </w:r>
            <w:proofErr w:type="gramEnd"/>
            <w:r>
              <w:rPr>
                <w:rFonts w:ascii="Calibri" w:hAnsi="Calibri" w:cs="Arial"/>
                <w:sz w:val="22"/>
                <w:szCs w:val="22"/>
              </w:rPr>
              <w:t xml:space="preserve"> reveals Mary’s holiness and her unique position.</w:t>
            </w:r>
          </w:p>
          <w:p w14:paraId="44C864D4" w14:textId="77777777" w:rsidR="00E342A5" w:rsidRPr="00E342A5" w:rsidRDefault="00E342A5" w:rsidP="00E342A5">
            <w:pPr>
              <w:widowControl w:val="0"/>
              <w:autoSpaceDE w:val="0"/>
              <w:autoSpaceDN w:val="0"/>
              <w:adjustRightInd w:val="0"/>
              <w:jc w:val="both"/>
              <w:rPr>
                <w:rFonts w:ascii="Calibri" w:hAnsi="Calibri" w:cs="Arial"/>
                <w:sz w:val="22"/>
                <w:szCs w:val="22"/>
              </w:rPr>
            </w:pPr>
          </w:p>
          <w:p w14:paraId="24FCBC01" w14:textId="4273DB4B" w:rsidR="00E342A5" w:rsidRDefault="00E342A5" w:rsidP="00E342A5">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from</w:t>
            </w:r>
            <w:proofErr w:type="gramEnd"/>
            <w:r>
              <w:rPr>
                <w:rFonts w:ascii="Calibri" w:hAnsi="Calibri" w:cs="Arial"/>
                <w:sz w:val="22"/>
                <w:szCs w:val="22"/>
              </w:rPr>
              <w:t xml:space="preserve"> the first day you set your mind to understand and humbled yourself before your God, your words have been heard” – God hears our prayers if they come from a humble heart.  </w:t>
            </w:r>
            <w:r w:rsidR="00967960">
              <w:rPr>
                <w:rFonts w:ascii="Calibri" w:hAnsi="Calibri" w:cs="Arial"/>
                <w:sz w:val="22"/>
                <w:szCs w:val="22"/>
              </w:rPr>
              <w:t>This is because “God opposes the proud, but gives grace to the humble” (James 4:6).</w:t>
            </w:r>
          </w:p>
          <w:p w14:paraId="3EEFDC42" w14:textId="77777777" w:rsidR="00967960" w:rsidRPr="00967960" w:rsidRDefault="00967960" w:rsidP="00967960">
            <w:pPr>
              <w:widowControl w:val="0"/>
              <w:autoSpaceDE w:val="0"/>
              <w:autoSpaceDN w:val="0"/>
              <w:adjustRightInd w:val="0"/>
              <w:jc w:val="both"/>
              <w:rPr>
                <w:rFonts w:ascii="Calibri" w:hAnsi="Calibri" w:cs="Arial"/>
                <w:sz w:val="22"/>
                <w:szCs w:val="22"/>
              </w:rPr>
            </w:pPr>
          </w:p>
          <w:p w14:paraId="5B960A18" w14:textId="77777777" w:rsidR="00967960" w:rsidRDefault="00967960" w:rsidP="007435B9">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“The prince of the kingdom of Persia withstood me”</w:t>
            </w:r>
            <w:r w:rsidR="007435B9">
              <w:rPr>
                <w:rFonts w:ascii="Calibri" w:hAnsi="Calibri" w:cs="Arial"/>
                <w:sz w:val="22"/>
                <w:szCs w:val="22"/>
              </w:rPr>
              <w:t xml:space="preserve"> – Each nation has its own patron angel (see 10:20).  God exercises his providential government over nations through the ministry of angels.  They serve as helpers and protectors who are tasked with preserving some knowledge of God and his truth.  Angels may stand against one another since God sends them to serve opposing kingdoms. </w:t>
            </w:r>
          </w:p>
          <w:p w14:paraId="260E2B30" w14:textId="77777777" w:rsidR="007435B9" w:rsidRPr="007435B9" w:rsidRDefault="007435B9" w:rsidP="007435B9">
            <w:pPr>
              <w:widowControl w:val="0"/>
              <w:autoSpaceDE w:val="0"/>
              <w:autoSpaceDN w:val="0"/>
              <w:adjustRightInd w:val="0"/>
              <w:jc w:val="both"/>
              <w:rPr>
                <w:rFonts w:ascii="Calibri" w:hAnsi="Calibri" w:cs="Arial"/>
                <w:sz w:val="22"/>
                <w:szCs w:val="22"/>
              </w:rPr>
            </w:pPr>
          </w:p>
          <w:p w14:paraId="5745D7B8" w14:textId="77777777" w:rsidR="007435B9" w:rsidRDefault="00AC0C6D" w:rsidP="007435B9">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After speaking with Daniel, the angel returns “to fight against the prince of Persia” and “the prince of Greece will come”.  Persian dominance lasted from 539 to 331 B.C. when the Greek Empire took over from 331 to 63 B.C.</w:t>
            </w:r>
          </w:p>
          <w:p w14:paraId="7A99B1C6" w14:textId="77777777" w:rsidR="00AC0C6D" w:rsidRPr="00AC0C6D" w:rsidRDefault="00AC0C6D" w:rsidP="00AC0C6D">
            <w:pPr>
              <w:widowControl w:val="0"/>
              <w:autoSpaceDE w:val="0"/>
              <w:autoSpaceDN w:val="0"/>
              <w:adjustRightInd w:val="0"/>
              <w:jc w:val="both"/>
              <w:rPr>
                <w:rFonts w:ascii="Calibri" w:hAnsi="Calibri" w:cs="Arial"/>
                <w:sz w:val="22"/>
                <w:szCs w:val="22"/>
              </w:rPr>
            </w:pPr>
          </w:p>
          <w:p w14:paraId="3E5EFE01" w14:textId="79A8708D" w:rsidR="00AC0C6D" w:rsidRPr="005B7814" w:rsidDel="009871E9" w:rsidRDefault="00AC0C6D" w:rsidP="00AC0C6D">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 xml:space="preserve">11:1 is best read as the final verse of </w:t>
            </w:r>
            <w:proofErr w:type="spellStart"/>
            <w:r>
              <w:rPr>
                <w:rFonts w:ascii="Calibri" w:hAnsi="Calibri" w:cs="Arial"/>
                <w:sz w:val="22"/>
                <w:szCs w:val="22"/>
              </w:rPr>
              <w:t>chp</w:t>
            </w:r>
            <w:proofErr w:type="spellEnd"/>
            <w:r>
              <w:rPr>
                <w:rFonts w:ascii="Calibri" w:hAnsi="Calibri" w:cs="Arial"/>
                <w:sz w:val="22"/>
                <w:szCs w:val="22"/>
              </w:rPr>
              <w:t xml:space="preserve"> 10.</w:t>
            </w:r>
          </w:p>
        </w:tc>
        <w:tc>
          <w:tcPr>
            <w:tcW w:w="2330" w:type="dxa"/>
          </w:tcPr>
          <w:p w14:paraId="4BCD0AED" w14:textId="68C56542" w:rsidR="006E26F0" w:rsidRDefault="00C339AE" w:rsidP="00681509">
            <w:pPr>
              <w:rPr>
                <w:rFonts w:ascii="Calibri" w:hAnsi="Calibri" w:cs="Arial"/>
                <w:sz w:val="22"/>
                <w:szCs w:val="22"/>
              </w:rPr>
            </w:pPr>
            <w:r>
              <w:rPr>
                <w:rFonts w:ascii="Calibri" w:hAnsi="Calibri" w:cs="Arial"/>
                <w:sz w:val="22"/>
                <w:szCs w:val="22"/>
              </w:rPr>
              <w:lastRenderedPageBreak/>
              <w:t>10:1 – 11:1</w:t>
            </w:r>
          </w:p>
          <w:p w14:paraId="6C5379EB" w14:textId="77777777" w:rsidR="004C1B3E" w:rsidRDefault="004C1B3E" w:rsidP="00681509">
            <w:pPr>
              <w:rPr>
                <w:rFonts w:ascii="Calibri" w:hAnsi="Calibri" w:cs="Arial"/>
                <w:sz w:val="22"/>
                <w:szCs w:val="22"/>
              </w:rPr>
            </w:pPr>
          </w:p>
          <w:p w14:paraId="11ED6F03" w14:textId="77777777" w:rsidR="000F261E" w:rsidRDefault="000F261E" w:rsidP="004C1B3E">
            <w:pPr>
              <w:rPr>
                <w:rFonts w:ascii="Calibri" w:hAnsi="Calibri" w:cs="Arial"/>
                <w:sz w:val="22"/>
                <w:szCs w:val="22"/>
              </w:rPr>
            </w:pPr>
            <w:r>
              <w:rPr>
                <w:rFonts w:ascii="Calibri" w:hAnsi="Calibri" w:cs="Arial"/>
                <w:sz w:val="22"/>
                <w:szCs w:val="22"/>
              </w:rPr>
              <w:t>10:5 CSB</w:t>
            </w:r>
          </w:p>
          <w:p w14:paraId="14E07F56" w14:textId="77777777" w:rsidR="000F261E" w:rsidRDefault="000F261E" w:rsidP="004C1B3E">
            <w:pPr>
              <w:rPr>
                <w:rFonts w:ascii="Calibri" w:hAnsi="Calibri" w:cs="Arial"/>
                <w:sz w:val="22"/>
                <w:szCs w:val="22"/>
              </w:rPr>
            </w:pPr>
          </w:p>
          <w:p w14:paraId="26FA48C3" w14:textId="77777777" w:rsidR="000F261E" w:rsidRDefault="000F261E" w:rsidP="004C1B3E">
            <w:pPr>
              <w:rPr>
                <w:rFonts w:ascii="Calibri" w:hAnsi="Calibri" w:cs="Arial"/>
                <w:sz w:val="22"/>
                <w:szCs w:val="22"/>
              </w:rPr>
            </w:pPr>
          </w:p>
          <w:p w14:paraId="6AC6271F" w14:textId="77777777" w:rsidR="000F261E" w:rsidRDefault="000F261E" w:rsidP="004C1B3E">
            <w:pPr>
              <w:rPr>
                <w:rFonts w:ascii="Calibri" w:hAnsi="Calibri" w:cs="Arial"/>
                <w:sz w:val="22"/>
                <w:szCs w:val="22"/>
              </w:rPr>
            </w:pPr>
          </w:p>
          <w:p w14:paraId="4ED7B8A3" w14:textId="77777777" w:rsidR="000F261E" w:rsidRDefault="000F261E" w:rsidP="004C1B3E">
            <w:pPr>
              <w:rPr>
                <w:rFonts w:ascii="Calibri" w:hAnsi="Calibri" w:cs="Arial"/>
                <w:sz w:val="22"/>
                <w:szCs w:val="22"/>
              </w:rPr>
            </w:pPr>
            <w:proofErr w:type="spellStart"/>
            <w:r>
              <w:rPr>
                <w:rFonts w:ascii="Calibri" w:hAnsi="Calibri" w:cs="Arial"/>
                <w:sz w:val="22"/>
                <w:szCs w:val="22"/>
              </w:rPr>
              <w:t>Ezek</w:t>
            </w:r>
            <w:proofErr w:type="spellEnd"/>
            <w:r>
              <w:rPr>
                <w:rFonts w:ascii="Calibri" w:hAnsi="Calibri" w:cs="Arial"/>
                <w:sz w:val="22"/>
                <w:szCs w:val="22"/>
              </w:rPr>
              <w:t xml:space="preserve"> 9:2, Rev 15:6</w:t>
            </w:r>
          </w:p>
          <w:p w14:paraId="44D3201A" w14:textId="77777777" w:rsidR="000F261E" w:rsidRDefault="000F261E" w:rsidP="004C1B3E">
            <w:pPr>
              <w:rPr>
                <w:rFonts w:ascii="Calibri" w:hAnsi="Calibri" w:cs="Arial"/>
                <w:sz w:val="22"/>
                <w:szCs w:val="22"/>
              </w:rPr>
            </w:pPr>
          </w:p>
          <w:p w14:paraId="36D10F56" w14:textId="0D4629CA" w:rsidR="000F261E" w:rsidRDefault="000F261E" w:rsidP="004C1B3E">
            <w:pPr>
              <w:rPr>
                <w:rFonts w:ascii="Calibri" w:hAnsi="Calibri" w:cs="Arial"/>
                <w:sz w:val="22"/>
                <w:szCs w:val="22"/>
              </w:rPr>
            </w:pPr>
            <w:r>
              <w:rPr>
                <w:rFonts w:ascii="Calibri" w:hAnsi="Calibri" w:cs="Arial"/>
                <w:sz w:val="22"/>
                <w:szCs w:val="22"/>
              </w:rPr>
              <w:t>K. McNamara, Mother of the Redeemer, p 40</w:t>
            </w:r>
          </w:p>
          <w:p w14:paraId="6B1798AF" w14:textId="77777777" w:rsidR="00E342A5" w:rsidRDefault="00E342A5" w:rsidP="004C1B3E">
            <w:pPr>
              <w:rPr>
                <w:rFonts w:ascii="Calibri" w:hAnsi="Calibri" w:cs="Arial"/>
                <w:sz w:val="22"/>
                <w:szCs w:val="22"/>
              </w:rPr>
            </w:pPr>
          </w:p>
          <w:p w14:paraId="03494FD7" w14:textId="77777777" w:rsidR="00E342A5" w:rsidRDefault="00E342A5" w:rsidP="004C1B3E">
            <w:pPr>
              <w:rPr>
                <w:rFonts w:ascii="Calibri" w:hAnsi="Calibri" w:cs="Arial"/>
                <w:sz w:val="22"/>
                <w:szCs w:val="22"/>
              </w:rPr>
            </w:pPr>
          </w:p>
          <w:p w14:paraId="2E888BB3" w14:textId="77777777" w:rsidR="00E342A5" w:rsidRDefault="00E342A5" w:rsidP="004C1B3E">
            <w:pPr>
              <w:rPr>
                <w:rFonts w:ascii="Calibri" w:hAnsi="Calibri" w:cs="Arial"/>
                <w:sz w:val="22"/>
                <w:szCs w:val="22"/>
              </w:rPr>
            </w:pPr>
            <w:r>
              <w:rPr>
                <w:rFonts w:ascii="Calibri" w:hAnsi="Calibri" w:cs="Arial"/>
                <w:sz w:val="22"/>
                <w:szCs w:val="22"/>
              </w:rPr>
              <w:t>10:12 CSB</w:t>
            </w:r>
          </w:p>
          <w:p w14:paraId="47642C65" w14:textId="1E48698A" w:rsidR="00E342A5" w:rsidRDefault="00967960" w:rsidP="004C1B3E">
            <w:pPr>
              <w:rPr>
                <w:rFonts w:ascii="Calibri" w:hAnsi="Calibri" w:cs="Arial"/>
                <w:sz w:val="22"/>
                <w:szCs w:val="22"/>
              </w:rPr>
            </w:pPr>
            <w:r>
              <w:rPr>
                <w:rFonts w:ascii="Calibri" w:hAnsi="Calibri" w:cs="Arial"/>
                <w:sz w:val="22"/>
                <w:szCs w:val="22"/>
              </w:rPr>
              <w:t>James</w:t>
            </w:r>
            <w:r w:rsidR="00E342A5">
              <w:rPr>
                <w:rFonts w:ascii="Calibri" w:hAnsi="Calibri" w:cs="Arial"/>
                <w:sz w:val="22"/>
                <w:szCs w:val="22"/>
              </w:rPr>
              <w:t xml:space="preserve"> 4:6</w:t>
            </w:r>
            <w:r>
              <w:rPr>
                <w:rFonts w:ascii="Calibri" w:hAnsi="Calibri" w:cs="Arial"/>
                <w:sz w:val="22"/>
                <w:szCs w:val="22"/>
              </w:rPr>
              <w:t>, CCC 2559</w:t>
            </w:r>
          </w:p>
          <w:p w14:paraId="5B05A57A" w14:textId="77777777" w:rsidR="00967960" w:rsidRDefault="00967960" w:rsidP="004C1B3E">
            <w:pPr>
              <w:rPr>
                <w:rFonts w:ascii="Calibri" w:hAnsi="Calibri" w:cs="Arial"/>
                <w:sz w:val="22"/>
                <w:szCs w:val="22"/>
              </w:rPr>
            </w:pPr>
          </w:p>
          <w:p w14:paraId="5542D44F" w14:textId="77777777" w:rsidR="00967960" w:rsidRDefault="00967960" w:rsidP="004C1B3E">
            <w:pPr>
              <w:rPr>
                <w:rFonts w:ascii="Calibri" w:hAnsi="Calibri" w:cs="Arial"/>
                <w:sz w:val="22"/>
                <w:szCs w:val="22"/>
              </w:rPr>
            </w:pPr>
          </w:p>
          <w:p w14:paraId="7FD7D030" w14:textId="77777777" w:rsidR="00967960" w:rsidRDefault="00967960" w:rsidP="004C1B3E">
            <w:pPr>
              <w:rPr>
                <w:rFonts w:ascii="Calibri" w:hAnsi="Calibri" w:cs="Arial"/>
                <w:sz w:val="22"/>
                <w:szCs w:val="22"/>
              </w:rPr>
            </w:pPr>
          </w:p>
          <w:p w14:paraId="155AAB17" w14:textId="52624953" w:rsidR="00967960" w:rsidRDefault="00967960" w:rsidP="004C1B3E">
            <w:pPr>
              <w:rPr>
                <w:rFonts w:ascii="Calibri" w:hAnsi="Calibri" w:cs="Arial"/>
                <w:sz w:val="22"/>
                <w:szCs w:val="22"/>
              </w:rPr>
            </w:pPr>
            <w:r>
              <w:rPr>
                <w:rFonts w:ascii="Calibri" w:hAnsi="Calibri" w:cs="Arial"/>
                <w:sz w:val="22"/>
                <w:szCs w:val="22"/>
              </w:rPr>
              <w:t>10:13 CSB</w:t>
            </w:r>
          </w:p>
          <w:p w14:paraId="5CC88D45" w14:textId="77777777" w:rsidR="000F261E" w:rsidRDefault="000F261E" w:rsidP="004C1B3E">
            <w:pPr>
              <w:rPr>
                <w:rFonts w:ascii="Calibri" w:hAnsi="Calibri" w:cs="Arial"/>
                <w:sz w:val="22"/>
                <w:szCs w:val="22"/>
              </w:rPr>
            </w:pPr>
          </w:p>
          <w:p w14:paraId="782714A7" w14:textId="77777777" w:rsidR="000F261E" w:rsidRDefault="000F261E" w:rsidP="004C1B3E">
            <w:pPr>
              <w:rPr>
                <w:rFonts w:ascii="Calibri" w:hAnsi="Calibri" w:cs="Arial"/>
                <w:sz w:val="22"/>
                <w:szCs w:val="22"/>
              </w:rPr>
            </w:pPr>
          </w:p>
          <w:p w14:paraId="0E503B70" w14:textId="77777777" w:rsidR="007435B9" w:rsidRDefault="007435B9" w:rsidP="004C1B3E">
            <w:pPr>
              <w:rPr>
                <w:rFonts w:ascii="Calibri" w:hAnsi="Calibri" w:cs="Arial"/>
                <w:sz w:val="22"/>
                <w:szCs w:val="22"/>
              </w:rPr>
            </w:pPr>
          </w:p>
          <w:p w14:paraId="3704F967" w14:textId="77777777" w:rsidR="007435B9" w:rsidRDefault="007435B9" w:rsidP="004C1B3E">
            <w:pPr>
              <w:rPr>
                <w:rFonts w:ascii="Calibri" w:hAnsi="Calibri" w:cs="Arial"/>
                <w:sz w:val="22"/>
                <w:szCs w:val="22"/>
              </w:rPr>
            </w:pPr>
          </w:p>
          <w:p w14:paraId="54E0A35B" w14:textId="77777777" w:rsidR="007435B9" w:rsidRDefault="007435B9" w:rsidP="004C1B3E">
            <w:pPr>
              <w:rPr>
                <w:rFonts w:ascii="Calibri" w:hAnsi="Calibri" w:cs="Arial"/>
                <w:sz w:val="22"/>
                <w:szCs w:val="22"/>
              </w:rPr>
            </w:pPr>
          </w:p>
          <w:p w14:paraId="48E7CA13" w14:textId="77777777" w:rsidR="007435B9" w:rsidRDefault="007435B9" w:rsidP="004C1B3E">
            <w:pPr>
              <w:rPr>
                <w:rFonts w:ascii="Calibri" w:hAnsi="Calibri" w:cs="Arial"/>
                <w:sz w:val="22"/>
                <w:szCs w:val="22"/>
              </w:rPr>
            </w:pPr>
          </w:p>
          <w:p w14:paraId="4F1FFEBF" w14:textId="77777777" w:rsidR="007435B9" w:rsidRDefault="007435B9" w:rsidP="004C1B3E">
            <w:pPr>
              <w:rPr>
                <w:rFonts w:ascii="Calibri" w:hAnsi="Calibri" w:cs="Arial"/>
                <w:sz w:val="22"/>
                <w:szCs w:val="22"/>
              </w:rPr>
            </w:pPr>
            <w:r>
              <w:rPr>
                <w:rFonts w:ascii="Calibri" w:hAnsi="Calibri" w:cs="Arial"/>
                <w:sz w:val="22"/>
                <w:szCs w:val="22"/>
              </w:rPr>
              <w:t>10:20 CSB</w:t>
            </w:r>
          </w:p>
          <w:p w14:paraId="197CBE41" w14:textId="77777777" w:rsidR="00AC0C6D" w:rsidRDefault="00AC0C6D" w:rsidP="004C1B3E">
            <w:pPr>
              <w:rPr>
                <w:rFonts w:ascii="Calibri" w:hAnsi="Calibri" w:cs="Arial"/>
                <w:sz w:val="22"/>
                <w:szCs w:val="22"/>
              </w:rPr>
            </w:pPr>
          </w:p>
          <w:p w14:paraId="619B876C" w14:textId="77777777" w:rsidR="00AC0C6D" w:rsidRDefault="00AC0C6D" w:rsidP="004C1B3E">
            <w:pPr>
              <w:rPr>
                <w:rFonts w:ascii="Calibri" w:hAnsi="Calibri" w:cs="Arial"/>
                <w:sz w:val="22"/>
                <w:szCs w:val="22"/>
              </w:rPr>
            </w:pPr>
          </w:p>
          <w:p w14:paraId="26A722D6" w14:textId="77777777" w:rsidR="00AC0C6D" w:rsidRDefault="00AC0C6D" w:rsidP="004C1B3E">
            <w:pPr>
              <w:rPr>
                <w:rFonts w:ascii="Calibri" w:hAnsi="Calibri" w:cs="Arial"/>
                <w:sz w:val="22"/>
                <w:szCs w:val="22"/>
              </w:rPr>
            </w:pPr>
          </w:p>
          <w:p w14:paraId="74F03518" w14:textId="77777777" w:rsidR="00AC0C6D" w:rsidRDefault="00AC0C6D" w:rsidP="004C1B3E">
            <w:pPr>
              <w:rPr>
                <w:rFonts w:ascii="Calibri" w:hAnsi="Calibri" w:cs="Arial"/>
                <w:sz w:val="22"/>
                <w:szCs w:val="22"/>
              </w:rPr>
            </w:pPr>
          </w:p>
          <w:p w14:paraId="18823012" w14:textId="77777777" w:rsidR="00AC0C6D" w:rsidRDefault="00AC0C6D" w:rsidP="004C1B3E">
            <w:pPr>
              <w:rPr>
                <w:rFonts w:ascii="Calibri" w:hAnsi="Calibri" w:cs="Arial"/>
                <w:sz w:val="22"/>
                <w:szCs w:val="22"/>
              </w:rPr>
            </w:pPr>
            <w:r>
              <w:rPr>
                <w:rFonts w:ascii="Calibri" w:hAnsi="Calibri" w:cs="Arial"/>
                <w:sz w:val="22"/>
                <w:szCs w:val="22"/>
              </w:rPr>
              <w:t>11:1</w:t>
            </w:r>
          </w:p>
          <w:p w14:paraId="5D434B39" w14:textId="3E31D341" w:rsidR="00AC0C6D" w:rsidRDefault="00AC0C6D" w:rsidP="004C1B3E">
            <w:pPr>
              <w:rPr>
                <w:rFonts w:ascii="Calibri" w:hAnsi="Calibri" w:cs="Arial"/>
                <w:sz w:val="22"/>
                <w:szCs w:val="22"/>
              </w:rPr>
            </w:pPr>
          </w:p>
        </w:tc>
      </w:tr>
      <w:tr w:rsidR="003E37E2" w:rsidRPr="008D630A" w14:paraId="21C78326" w14:textId="77777777" w:rsidTr="00AA6F44">
        <w:tc>
          <w:tcPr>
            <w:tcW w:w="515" w:type="dxa"/>
          </w:tcPr>
          <w:p w14:paraId="17058F25" w14:textId="2D719CD0" w:rsidR="003E37E2" w:rsidRDefault="008C38FF" w:rsidP="008C38FF">
            <w:pPr>
              <w:jc w:val="center"/>
              <w:rPr>
                <w:rFonts w:ascii="Calibri" w:hAnsi="Calibri" w:cs="Arial"/>
                <w:b/>
                <w:sz w:val="22"/>
                <w:szCs w:val="22"/>
              </w:rPr>
            </w:pPr>
            <w:r>
              <w:rPr>
                <w:rFonts w:ascii="Calibri" w:hAnsi="Calibri" w:cs="Arial"/>
                <w:b/>
                <w:sz w:val="22"/>
                <w:szCs w:val="22"/>
              </w:rPr>
              <w:lastRenderedPageBreak/>
              <w:t>D</w:t>
            </w:r>
          </w:p>
        </w:tc>
        <w:tc>
          <w:tcPr>
            <w:tcW w:w="7235" w:type="dxa"/>
          </w:tcPr>
          <w:p w14:paraId="2128A834" w14:textId="2F8052CE" w:rsidR="003229C8" w:rsidRDefault="000F261E" w:rsidP="00515E02">
            <w:pPr>
              <w:widowControl w:val="0"/>
              <w:autoSpaceDE w:val="0"/>
              <w:autoSpaceDN w:val="0"/>
              <w:adjustRightInd w:val="0"/>
              <w:jc w:val="both"/>
              <w:rPr>
                <w:rFonts w:ascii="Calibri" w:hAnsi="Calibri" w:cs="Arial"/>
                <w:b/>
                <w:sz w:val="22"/>
                <w:szCs w:val="22"/>
                <w:u w:val="single"/>
              </w:rPr>
            </w:pPr>
            <w:r>
              <w:rPr>
                <w:rFonts w:ascii="Calibri" w:hAnsi="Calibri" w:cs="Arial"/>
                <w:b/>
                <w:sz w:val="22"/>
                <w:szCs w:val="22"/>
                <w:u w:val="single"/>
              </w:rPr>
              <w:t>Prophecies Concerning Persia and Greece</w:t>
            </w:r>
          </w:p>
          <w:p w14:paraId="2FC9A490" w14:textId="77777777" w:rsidR="0032607F" w:rsidRDefault="0032607F" w:rsidP="00515E02">
            <w:pPr>
              <w:widowControl w:val="0"/>
              <w:autoSpaceDE w:val="0"/>
              <w:autoSpaceDN w:val="0"/>
              <w:adjustRightInd w:val="0"/>
              <w:jc w:val="both"/>
              <w:rPr>
                <w:rFonts w:ascii="Calibri" w:hAnsi="Calibri" w:cs="Arial"/>
                <w:b/>
                <w:sz w:val="22"/>
                <w:szCs w:val="22"/>
                <w:u w:val="single"/>
              </w:rPr>
            </w:pPr>
          </w:p>
          <w:p w14:paraId="48D8FC3D" w14:textId="738A7239" w:rsidR="00033798" w:rsidRDefault="00AC0C6D" w:rsidP="00033798">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 xml:space="preserve">The “fourth” Persian king refers to </w:t>
            </w:r>
            <w:proofErr w:type="spellStart"/>
            <w:r>
              <w:rPr>
                <w:rFonts w:ascii="Calibri" w:hAnsi="Calibri" w:cs="Arial"/>
                <w:sz w:val="22"/>
                <w:szCs w:val="22"/>
              </w:rPr>
              <w:t>Zerxes</w:t>
            </w:r>
            <w:proofErr w:type="spellEnd"/>
            <w:r>
              <w:rPr>
                <w:rFonts w:ascii="Calibri" w:hAnsi="Calibri" w:cs="Arial"/>
                <w:sz w:val="22"/>
                <w:szCs w:val="22"/>
              </w:rPr>
              <w:t xml:space="preserve"> I who ruled from 486-465 B.C</w:t>
            </w:r>
            <w:proofErr w:type="gramStart"/>
            <w:r>
              <w:rPr>
                <w:rFonts w:ascii="Calibri" w:hAnsi="Calibri" w:cs="Arial"/>
                <w:sz w:val="22"/>
                <w:szCs w:val="22"/>
              </w:rPr>
              <w:t>..</w:t>
            </w:r>
            <w:proofErr w:type="gramEnd"/>
            <w:r>
              <w:rPr>
                <w:rFonts w:ascii="Calibri" w:hAnsi="Calibri" w:cs="Arial"/>
                <w:sz w:val="22"/>
                <w:szCs w:val="22"/>
              </w:rPr>
              <w:t xml:space="preserve">  He defeated Greece in 480 B.C.</w:t>
            </w:r>
            <w:r w:rsidR="00033798">
              <w:rPr>
                <w:rFonts w:ascii="Calibri" w:hAnsi="Calibri" w:cs="Arial"/>
                <w:sz w:val="22"/>
                <w:szCs w:val="22"/>
              </w:rPr>
              <w:t xml:space="preserve"> </w:t>
            </w:r>
          </w:p>
          <w:p w14:paraId="1DB1CB82" w14:textId="47518AF9" w:rsidR="009E0387" w:rsidRPr="00033798" w:rsidRDefault="00033798" w:rsidP="00033798">
            <w:pPr>
              <w:widowControl w:val="0"/>
              <w:autoSpaceDE w:val="0"/>
              <w:autoSpaceDN w:val="0"/>
              <w:adjustRightInd w:val="0"/>
              <w:jc w:val="both"/>
              <w:rPr>
                <w:rFonts w:ascii="Calibri" w:hAnsi="Calibri" w:cs="Arial"/>
                <w:sz w:val="22"/>
                <w:szCs w:val="22"/>
              </w:rPr>
            </w:pPr>
            <w:r w:rsidRPr="00033798">
              <w:rPr>
                <w:rFonts w:ascii="Calibri" w:hAnsi="Calibri" w:cs="Arial"/>
                <w:sz w:val="22"/>
                <w:szCs w:val="22"/>
              </w:rPr>
              <w:t xml:space="preserve"> </w:t>
            </w:r>
          </w:p>
          <w:p w14:paraId="145814DE" w14:textId="20D96811" w:rsidR="00033798" w:rsidRDefault="00AC0C6D" w:rsidP="000140F3">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Alexander the Great began his eastern expansion in 336 B.C. and defeated Persian to gain access to India in 331 B.C</w:t>
            </w:r>
            <w:proofErr w:type="gramStart"/>
            <w:r>
              <w:rPr>
                <w:rFonts w:ascii="Calibri" w:hAnsi="Calibri" w:cs="Arial"/>
                <w:sz w:val="22"/>
                <w:szCs w:val="22"/>
              </w:rPr>
              <w:t>..</w:t>
            </w:r>
            <w:proofErr w:type="gramEnd"/>
            <w:r>
              <w:rPr>
                <w:rFonts w:ascii="Calibri" w:hAnsi="Calibri" w:cs="Arial"/>
                <w:sz w:val="22"/>
                <w:szCs w:val="22"/>
              </w:rPr>
              <w:t xml:space="preserve">  After his death in 323 B.C., his kingdom “shall be broken and divided towards the four winds of heaven, but not to his posterity”.</w:t>
            </w:r>
          </w:p>
          <w:p w14:paraId="6C624724" w14:textId="77777777" w:rsidR="00672592" w:rsidRPr="00672592" w:rsidRDefault="00672592" w:rsidP="00672592">
            <w:pPr>
              <w:widowControl w:val="0"/>
              <w:autoSpaceDE w:val="0"/>
              <w:autoSpaceDN w:val="0"/>
              <w:adjustRightInd w:val="0"/>
              <w:jc w:val="both"/>
              <w:rPr>
                <w:rFonts w:ascii="Calibri" w:hAnsi="Calibri" w:cs="Arial"/>
                <w:sz w:val="22"/>
                <w:szCs w:val="22"/>
              </w:rPr>
            </w:pPr>
          </w:p>
          <w:p w14:paraId="33C6225E" w14:textId="77777777" w:rsidR="00672592" w:rsidRPr="002F196B" w:rsidRDefault="002F196B" w:rsidP="002F196B">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 xml:space="preserve">The king of the south and the king of the north refer to the Ptolemaic Dynasty of Egypt and the Seleucid Dynasty of Syria.  The two fought for many years, taking control over Palestine (270-198 under Ptolemy and 198-142 under </w:t>
            </w:r>
            <w:proofErr w:type="spellStart"/>
            <w:r>
              <w:rPr>
                <w:rFonts w:ascii="Calibri" w:hAnsi="Calibri" w:cs="Arial"/>
                <w:sz w:val="22"/>
                <w:szCs w:val="22"/>
              </w:rPr>
              <w:t>Seleucus</w:t>
            </w:r>
            <w:proofErr w:type="spellEnd"/>
            <w:r>
              <w:rPr>
                <w:rFonts w:ascii="Calibri" w:hAnsi="Calibri" w:cs="Arial"/>
                <w:sz w:val="22"/>
                <w:szCs w:val="22"/>
              </w:rPr>
              <w:t xml:space="preserve">).  Eventually, </w:t>
            </w:r>
            <w:r>
              <w:rPr>
                <w:rFonts w:ascii="Calibri" w:hAnsi="Calibri"/>
                <w:sz w:val="22"/>
                <w:szCs w:val="22"/>
                <w:lang w:val="en-CA"/>
              </w:rPr>
              <w:t xml:space="preserve">Antiochus III defeated his Ptolemaic rival and bringing Palestine under Seleucid control.  “He shall bring terms of peace and perform them.  He shall give him the daughter of women to destroy the kingdom”.  Unfortunately, he failed.  </w:t>
            </w:r>
          </w:p>
          <w:p w14:paraId="53214916" w14:textId="77777777" w:rsidR="002F196B" w:rsidRPr="002F196B" w:rsidRDefault="002F196B" w:rsidP="002F196B">
            <w:pPr>
              <w:widowControl w:val="0"/>
              <w:autoSpaceDE w:val="0"/>
              <w:autoSpaceDN w:val="0"/>
              <w:adjustRightInd w:val="0"/>
              <w:jc w:val="both"/>
              <w:rPr>
                <w:rFonts w:ascii="Calibri" w:hAnsi="Calibri" w:cs="Arial"/>
                <w:sz w:val="22"/>
                <w:szCs w:val="22"/>
              </w:rPr>
            </w:pPr>
          </w:p>
          <w:p w14:paraId="4B5143E6" w14:textId="70443714" w:rsidR="002F196B" w:rsidRPr="009E0387" w:rsidRDefault="002F196B" w:rsidP="002F196B">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The history from the Babylonian Exile to the Roman Empire.</w:t>
            </w:r>
          </w:p>
        </w:tc>
        <w:tc>
          <w:tcPr>
            <w:tcW w:w="2330" w:type="dxa"/>
          </w:tcPr>
          <w:p w14:paraId="623F95C8" w14:textId="1D572342" w:rsidR="00033798" w:rsidRDefault="00AC0C6D">
            <w:pPr>
              <w:rPr>
                <w:rFonts w:ascii="Calibri" w:hAnsi="Calibri" w:cs="Arial"/>
                <w:sz w:val="22"/>
                <w:szCs w:val="22"/>
              </w:rPr>
            </w:pPr>
            <w:r>
              <w:rPr>
                <w:rFonts w:ascii="Calibri" w:hAnsi="Calibri" w:cs="Arial"/>
                <w:sz w:val="22"/>
                <w:szCs w:val="22"/>
              </w:rPr>
              <w:t>11:2-19</w:t>
            </w:r>
          </w:p>
          <w:p w14:paraId="3C6208ED" w14:textId="77777777" w:rsidR="00033798" w:rsidRDefault="00033798">
            <w:pPr>
              <w:rPr>
                <w:rFonts w:ascii="Calibri" w:hAnsi="Calibri" w:cs="Arial"/>
                <w:sz w:val="22"/>
                <w:szCs w:val="22"/>
              </w:rPr>
            </w:pPr>
          </w:p>
          <w:p w14:paraId="17FD52D4" w14:textId="32F057F8" w:rsidR="00033798" w:rsidRDefault="00AC0C6D">
            <w:pPr>
              <w:rPr>
                <w:rFonts w:ascii="Calibri" w:hAnsi="Calibri" w:cs="Arial"/>
                <w:sz w:val="22"/>
                <w:szCs w:val="22"/>
              </w:rPr>
            </w:pPr>
            <w:r>
              <w:rPr>
                <w:rFonts w:ascii="Calibri" w:hAnsi="Calibri" w:cs="Arial"/>
                <w:sz w:val="22"/>
                <w:szCs w:val="22"/>
              </w:rPr>
              <w:t>11:2 CSB</w:t>
            </w:r>
          </w:p>
          <w:p w14:paraId="6C5F439D" w14:textId="77777777" w:rsidR="00033798" w:rsidRDefault="00033798">
            <w:pPr>
              <w:rPr>
                <w:rFonts w:ascii="Calibri" w:hAnsi="Calibri" w:cs="Arial"/>
                <w:sz w:val="22"/>
                <w:szCs w:val="22"/>
              </w:rPr>
            </w:pPr>
          </w:p>
          <w:p w14:paraId="05D7388F" w14:textId="77777777" w:rsidR="00033798" w:rsidRDefault="00033798">
            <w:pPr>
              <w:rPr>
                <w:rFonts w:ascii="Calibri" w:hAnsi="Calibri" w:cs="Arial"/>
                <w:sz w:val="22"/>
                <w:szCs w:val="22"/>
              </w:rPr>
            </w:pPr>
          </w:p>
          <w:p w14:paraId="2CA17D66" w14:textId="77777777" w:rsidR="00163BD1" w:rsidRDefault="00AC0C6D">
            <w:pPr>
              <w:rPr>
                <w:rFonts w:ascii="Calibri" w:hAnsi="Calibri" w:cs="Arial"/>
                <w:sz w:val="22"/>
                <w:szCs w:val="22"/>
              </w:rPr>
            </w:pPr>
            <w:r>
              <w:rPr>
                <w:rFonts w:ascii="Calibri" w:hAnsi="Calibri" w:cs="Arial"/>
                <w:sz w:val="22"/>
                <w:szCs w:val="22"/>
              </w:rPr>
              <w:t xml:space="preserve">11:3-4 CSB, </w:t>
            </w:r>
          </w:p>
          <w:p w14:paraId="4F7A118B" w14:textId="7757CBBE" w:rsidR="00AC0C6D" w:rsidRDefault="00AC0C6D">
            <w:pPr>
              <w:rPr>
                <w:rFonts w:ascii="Calibri" w:hAnsi="Calibri" w:cs="Arial"/>
                <w:sz w:val="22"/>
                <w:szCs w:val="22"/>
              </w:rPr>
            </w:pPr>
            <w:r>
              <w:rPr>
                <w:rFonts w:ascii="Calibri" w:hAnsi="Calibri" w:cs="Arial"/>
                <w:sz w:val="22"/>
                <w:szCs w:val="22"/>
              </w:rPr>
              <w:t>SK p 2031</w:t>
            </w:r>
          </w:p>
          <w:p w14:paraId="4A54756A" w14:textId="77777777" w:rsidR="00163BD1" w:rsidRDefault="00163BD1">
            <w:pPr>
              <w:rPr>
                <w:rFonts w:ascii="Calibri" w:hAnsi="Calibri" w:cs="Arial"/>
                <w:sz w:val="22"/>
                <w:szCs w:val="22"/>
              </w:rPr>
            </w:pPr>
          </w:p>
          <w:p w14:paraId="23C117CF" w14:textId="77777777" w:rsidR="00646E03" w:rsidRDefault="00646E03">
            <w:pPr>
              <w:rPr>
                <w:rFonts w:ascii="Calibri" w:hAnsi="Calibri" w:cs="Arial"/>
                <w:sz w:val="22"/>
                <w:szCs w:val="22"/>
              </w:rPr>
            </w:pPr>
          </w:p>
          <w:p w14:paraId="41BB27AE" w14:textId="77777777" w:rsidR="00646E03" w:rsidRDefault="00646E03">
            <w:pPr>
              <w:rPr>
                <w:rFonts w:ascii="Calibri" w:hAnsi="Calibri" w:cs="Arial"/>
                <w:sz w:val="22"/>
                <w:szCs w:val="22"/>
              </w:rPr>
            </w:pPr>
          </w:p>
          <w:p w14:paraId="0401FEF8" w14:textId="3AF61600" w:rsidR="00BC5D9D" w:rsidRDefault="002F196B" w:rsidP="00AC0C6D">
            <w:pPr>
              <w:rPr>
                <w:rFonts w:ascii="Calibri" w:hAnsi="Calibri" w:cs="Arial"/>
                <w:sz w:val="22"/>
                <w:szCs w:val="22"/>
              </w:rPr>
            </w:pPr>
            <w:r>
              <w:rPr>
                <w:rFonts w:ascii="Calibri" w:hAnsi="Calibri" w:cs="Arial"/>
                <w:sz w:val="22"/>
                <w:szCs w:val="22"/>
              </w:rPr>
              <w:t>11:5-19</w:t>
            </w:r>
          </w:p>
          <w:p w14:paraId="5B9F1794" w14:textId="77777777" w:rsidR="002F196B" w:rsidRDefault="002F196B" w:rsidP="00AC0C6D">
            <w:pPr>
              <w:rPr>
                <w:rFonts w:ascii="Calibri" w:hAnsi="Calibri" w:cs="Arial"/>
                <w:sz w:val="22"/>
                <w:szCs w:val="22"/>
              </w:rPr>
            </w:pPr>
          </w:p>
          <w:p w14:paraId="01587E68" w14:textId="77777777" w:rsidR="002F196B" w:rsidRDefault="002F196B" w:rsidP="00AC0C6D">
            <w:pPr>
              <w:rPr>
                <w:rFonts w:ascii="Calibri" w:hAnsi="Calibri" w:cs="Arial"/>
                <w:sz w:val="22"/>
                <w:szCs w:val="22"/>
              </w:rPr>
            </w:pPr>
          </w:p>
          <w:p w14:paraId="0DB6DD03" w14:textId="77777777" w:rsidR="002F196B" w:rsidRDefault="002F196B" w:rsidP="00AC0C6D">
            <w:pPr>
              <w:rPr>
                <w:rFonts w:ascii="Calibri" w:hAnsi="Calibri" w:cs="Arial"/>
                <w:sz w:val="22"/>
                <w:szCs w:val="22"/>
              </w:rPr>
            </w:pPr>
          </w:p>
          <w:p w14:paraId="3B498752" w14:textId="77777777" w:rsidR="002F196B" w:rsidRDefault="002F196B" w:rsidP="00AC0C6D">
            <w:pPr>
              <w:rPr>
                <w:rFonts w:ascii="Calibri" w:hAnsi="Calibri" w:cs="Arial"/>
                <w:sz w:val="22"/>
                <w:szCs w:val="22"/>
              </w:rPr>
            </w:pPr>
          </w:p>
          <w:p w14:paraId="0ED9165B" w14:textId="77777777" w:rsidR="002F196B" w:rsidRDefault="002F196B" w:rsidP="00AC0C6D">
            <w:pPr>
              <w:rPr>
                <w:rFonts w:ascii="Calibri" w:hAnsi="Calibri" w:cs="Arial"/>
                <w:sz w:val="22"/>
                <w:szCs w:val="22"/>
              </w:rPr>
            </w:pPr>
          </w:p>
          <w:p w14:paraId="393B5210" w14:textId="77777777" w:rsidR="002F196B" w:rsidRDefault="002F196B" w:rsidP="00AC0C6D">
            <w:pPr>
              <w:rPr>
                <w:rFonts w:ascii="Calibri" w:hAnsi="Calibri" w:cs="Arial"/>
                <w:sz w:val="22"/>
                <w:szCs w:val="22"/>
              </w:rPr>
            </w:pPr>
          </w:p>
          <w:p w14:paraId="33C801B6" w14:textId="77777777" w:rsidR="002F196B" w:rsidRDefault="002F196B" w:rsidP="00AC0C6D">
            <w:pPr>
              <w:rPr>
                <w:rFonts w:ascii="Calibri" w:hAnsi="Calibri" w:cs="Arial"/>
                <w:sz w:val="22"/>
                <w:szCs w:val="22"/>
              </w:rPr>
            </w:pPr>
          </w:p>
          <w:p w14:paraId="1AF66B0D" w14:textId="77777777" w:rsidR="002F196B" w:rsidRDefault="002F196B" w:rsidP="00AC0C6D">
            <w:pPr>
              <w:rPr>
                <w:rFonts w:ascii="Calibri" w:hAnsi="Calibri" w:cs="Arial"/>
                <w:sz w:val="22"/>
                <w:szCs w:val="22"/>
              </w:rPr>
            </w:pPr>
            <w:r>
              <w:rPr>
                <w:rFonts w:ascii="Calibri" w:hAnsi="Calibri" w:cs="Arial"/>
                <w:sz w:val="22"/>
                <w:szCs w:val="22"/>
              </w:rPr>
              <w:t>SN1</w:t>
            </w:r>
          </w:p>
          <w:p w14:paraId="07A6B702" w14:textId="7CDA9974" w:rsidR="002F196B" w:rsidRDefault="002F196B" w:rsidP="00AC0C6D">
            <w:pPr>
              <w:rPr>
                <w:rFonts w:ascii="Calibri" w:hAnsi="Calibri" w:cs="Arial"/>
                <w:sz w:val="22"/>
                <w:szCs w:val="22"/>
              </w:rPr>
            </w:pPr>
          </w:p>
        </w:tc>
      </w:tr>
    </w:tbl>
    <w:p w14:paraId="2412FC65" w14:textId="7A759395"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p>
    <w:p w14:paraId="722A8A39" w14:textId="426F9909" w:rsidR="00C2367F" w:rsidRDefault="00C2367F" w:rsidP="008D630A">
      <w:pPr>
        <w:tabs>
          <w:tab w:val="left" w:pos="1560"/>
        </w:tabs>
        <w:rPr>
          <w:rFonts w:ascii="Calibri" w:hAnsi="Calibri"/>
          <w:sz w:val="22"/>
          <w:szCs w:val="22"/>
          <w:lang w:val="en-CA"/>
        </w:rPr>
      </w:pPr>
      <w:r>
        <w:rPr>
          <w:rFonts w:ascii="Calibri" w:hAnsi="Calibri"/>
          <w:sz w:val="22"/>
          <w:szCs w:val="22"/>
          <w:lang w:val="en-CA"/>
        </w:rPr>
        <w:br w:type="page"/>
      </w:r>
    </w:p>
    <w:p w14:paraId="7B64723B" w14:textId="77777777" w:rsidR="00515E02" w:rsidRPr="0051552E" w:rsidRDefault="00515E02" w:rsidP="00515E02">
      <w:pPr>
        <w:jc w:val="both"/>
        <w:rPr>
          <w:rFonts w:asciiTheme="majorHAnsi" w:eastAsia="PMingLiU" w:hAnsiTheme="majorHAnsi" w:cs="SimSun"/>
          <w:b/>
          <w:bCs/>
          <w:snapToGrid w:val="0"/>
          <w:sz w:val="22"/>
          <w:szCs w:val="22"/>
          <w:lang w:val="en-CA" w:eastAsia="zh-TW"/>
        </w:rPr>
      </w:pPr>
      <w:r w:rsidRPr="0051552E">
        <w:rPr>
          <w:rFonts w:asciiTheme="majorHAnsi" w:eastAsia="PMingLiU" w:hAnsiTheme="majorHAnsi" w:cs="SimSun"/>
          <w:b/>
          <w:bCs/>
          <w:snapToGrid w:val="0"/>
          <w:sz w:val="22"/>
          <w:szCs w:val="22"/>
          <w:lang w:val="en-CA" w:eastAsia="zh-TW"/>
        </w:rPr>
        <w:lastRenderedPageBreak/>
        <w:t>Special Notes:</w:t>
      </w:r>
    </w:p>
    <w:p w14:paraId="577F3D24" w14:textId="77777777" w:rsidR="00515E02" w:rsidRDefault="00515E02" w:rsidP="00515E02">
      <w:pPr>
        <w:jc w:val="both"/>
        <w:rPr>
          <w:rFonts w:asciiTheme="majorHAnsi" w:eastAsia="PMingLiU" w:hAnsiTheme="majorHAnsi" w:cs="SimSun"/>
          <w:bCs/>
          <w:snapToGrid w:val="0"/>
          <w:sz w:val="22"/>
          <w:szCs w:val="22"/>
          <w:lang w:val="en-CA" w:eastAsia="zh-TW"/>
        </w:rPr>
      </w:pPr>
    </w:p>
    <w:p w14:paraId="0E859635" w14:textId="77777777" w:rsidR="002F196B" w:rsidRPr="002F196B" w:rsidRDefault="002F196B" w:rsidP="002F196B">
      <w:pPr>
        <w:pStyle w:val="Title"/>
        <w:rPr>
          <w:snapToGrid w:val="0"/>
          <w:lang w:val="en-CA" w:eastAsia="zh-TW"/>
        </w:rPr>
      </w:pPr>
      <w:r w:rsidRPr="002F196B">
        <w:rPr>
          <w:snapToGrid w:val="0"/>
          <w:lang w:val="en-CA" w:eastAsia="zh-TW"/>
        </w:rPr>
        <w:t>From the Exile to the Roman Period</w:t>
      </w:r>
    </w:p>
    <w:p w14:paraId="794AEEF7" w14:textId="77777777" w:rsidR="002F196B" w:rsidRPr="002F196B" w:rsidRDefault="002F196B" w:rsidP="002F196B">
      <w:pPr>
        <w:ind w:left="-216"/>
        <w:rPr>
          <w:rFonts w:asciiTheme="majorHAnsi" w:eastAsia="PMingLiU" w:hAnsiTheme="majorHAnsi" w:cs="SimSun"/>
          <w:bCs/>
          <w:snapToGrid w:val="0"/>
          <w:sz w:val="22"/>
          <w:szCs w:val="22"/>
          <w:lang w:val="en-CA"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991"/>
        <w:gridCol w:w="3268"/>
      </w:tblGrid>
      <w:tr w:rsidR="002F196B" w:rsidRPr="002F196B" w14:paraId="1CEE352A" w14:textId="77777777" w:rsidTr="002F196B">
        <w:trPr>
          <w:tblHeader/>
        </w:trPr>
        <w:tc>
          <w:tcPr>
            <w:tcW w:w="1638" w:type="dxa"/>
            <w:shd w:val="clear" w:color="auto" w:fill="D9D9D9"/>
          </w:tcPr>
          <w:p w14:paraId="35E01E3C" w14:textId="77777777" w:rsidR="002F196B" w:rsidRPr="002F196B" w:rsidRDefault="002F196B" w:rsidP="002F196B">
            <w:pPr>
              <w:jc w:val="cente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Years/Periods</w:t>
            </w:r>
          </w:p>
        </w:tc>
        <w:tc>
          <w:tcPr>
            <w:tcW w:w="4230" w:type="dxa"/>
            <w:shd w:val="clear" w:color="auto" w:fill="D9D9D9"/>
          </w:tcPr>
          <w:p w14:paraId="71F4B95D" w14:textId="77777777" w:rsidR="002F196B" w:rsidRPr="002F196B" w:rsidRDefault="002F196B" w:rsidP="002F196B">
            <w:pPr>
              <w:jc w:val="cente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Events/Characters</w:t>
            </w:r>
          </w:p>
        </w:tc>
        <w:tc>
          <w:tcPr>
            <w:tcW w:w="3708" w:type="dxa"/>
            <w:shd w:val="clear" w:color="auto" w:fill="D9D9D9"/>
          </w:tcPr>
          <w:p w14:paraId="54780F42" w14:textId="77777777" w:rsidR="002F196B" w:rsidRPr="002F196B" w:rsidRDefault="002F196B" w:rsidP="002F196B">
            <w:pPr>
              <w:jc w:val="cente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Remarks</w:t>
            </w:r>
          </w:p>
        </w:tc>
      </w:tr>
      <w:tr w:rsidR="002F196B" w:rsidRPr="002F196B" w14:paraId="2F81EB9A" w14:textId="77777777" w:rsidTr="002F196B">
        <w:tc>
          <w:tcPr>
            <w:tcW w:w="1638" w:type="dxa"/>
            <w:shd w:val="clear" w:color="auto" w:fill="auto"/>
          </w:tcPr>
          <w:p w14:paraId="797A4C18"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587-550</w:t>
            </w:r>
          </w:p>
        </w:tc>
        <w:tc>
          <w:tcPr>
            <w:tcW w:w="4230" w:type="dxa"/>
            <w:shd w:val="clear" w:color="auto" w:fill="auto"/>
          </w:tcPr>
          <w:p w14:paraId="63C62BA1"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Babylonian Exile. </w:t>
            </w:r>
          </w:p>
        </w:tc>
        <w:tc>
          <w:tcPr>
            <w:tcW w:w="3708" w:type="dxa"/>
            <w:shd w:val="clear" w:color="auto" w:fill="auto"/>
          </w:tcPr>
          <w:p w14:paraId="4484A385"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Daniel in the East until 537, 3</w:t>
            </w:r>
            <w:r w:rsidRPr="002F196B">
              <w:rPr>
                <w:rFonts w:asciiTheme="majorHAnsi" w:eastAsia="PMingLiU" w:hAnsiTheme="majorHAnsi" w:cs="SimSun"/>
                <w:bCs/>
                <w:snapToGrid w:val="0"/>
                <w:sz w:val="22"/>
                <w:szCs w:val="22"/>
                <w:vertAlign w:val="superscript"/>
                <w:lang w:val="en-CA" w:eastAsia="zh-TW"/>
              </w:rPr>
              <w:t>rd</w:t>
            </w:r>
            <w:r w:rsidRPr="002F196B">
              <w:rPr>
                <w:rFonts w:asciiTheme="majorHAnsi" w:eastAsia="PMingLiU" w:hAnsiTheme="majorHAnsi" w:cs="SimSun"/>
                <w:bCs/>
                <w:snapToGrid w:val="0"/>
                <w:sz w:val="22"/>
                <w:szCs w:val="22"/>
                <w:lang w:val="en-CA" w:eastAsia="zh-TW"/>
              </w:rPr>
              <w:t xml:space="preserve"> year after Cyrus II of Persia conquered Babylon (CSB p.17)</w:t>
            </w:r>
          </w:p>
        </w:tc>
      </w:tr>
      <w:tr w:rsidR="002F196B" w:rsidRPr="002F196B" w14:paraId="2E23230C" w14:textId="77777777" w:rsidTr="002F196B">
        <w:tc>
          <w:tcPr>
            <w:tcW w:w="1638" w:type="dxa"/>
            <w:shd w:val="clear" w:color="auto" w:fill="auto"/>
          </w:tcPr>
          <w:p w14:paraId="263834F6"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550-330</w:t>
            </w:r>
          </w:p>
        </w:tc>
        <w:tc>
          <w:tcPr>
            <w:tcW w:w="4230" w:type="dxa"/>
            <w:shd w:val="clear" w:color="auto" w:fill="auto"/>
          </w:tcPr>
          <w:p w14:paraId="555475D1"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The Persian Period – In 550-538, Cyrus of Persia conquered Medes, Lydia and Babylon. Edict issued to allow all Jews to go home. Empire ended by Alexander the Great in 330.</w:t>
            </w:r>
          </w:p>
        </w:tc>
        <w:tc>
          <w:tcPr>
            <w:tcW w:w="3708" w:type="dxa"/>
            <w:shd w:val="clear" w:color="auto" w:fill="auto"/>
          </w:tcPr>
          <w:p w14:paraId="2438B276"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Ezra expelled Jews married to “people of the land” (descendants of Jews left behind in 721/586 &amp; of refugees from other areas deported to Palestine). They built their own temple on Mt. Gerizim and became the Samaritans. Avowed policy of separatism continues to this day.</w:t>
            </w:r>
          </w:p>
        </w:tc>
      </w:tr>
      <w:tr w:rsidR="002F196B" w:rsidRPr="002F196B" w14:paraId="231FA334" w14:textId="77777777" w:rsidTr="002F196B">
        <w:tc>
          <w:tcPr>
            <w:tcW w:w="1638" w:type="dxa"/>
            <w:shd w:val="clear" w:color="auto" w:fill="auto"/>
          </w:tcPr>
          <w:p w14:paraId="15045675"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330-63 BC</w:t>
            </w:r>
          </w:p>
        </w:tc>
        <w:tc>
          <w:tcPr>
            <w:tcW w:w="4230" w:type="dxa"/>
            <w:shd w:val="clear" w:color="auto" w:fill="auto"/>
          </w:tcPr>
          <w:p w14:paraId="62758AD6"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The Greek Period </w:t>
            </w:r>
          </w:p>
          <w:p w14:paraId="525C26C2"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336-323 Alexandrian empire.</w:t>
            </w:r>
          </w:p>
          <w:p w14:paraId="3447B359"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proofErr w:type="spellStart"/>
            <w:r w:rsidRPr="002F196B">
              <w:rPr>
                <w:rFonts w:asciiTheme="majorHAnsi" w:eastAsia="PMingLiU" w:hAnsiTheme="majorHAnsi" w:cs="SimSun"/>
                <w:bCs/>
                <w:snapToGrid w:val="0"/>
                <w:sz w:val="22"/>
                <w:szCs w:val="22"/>
                <w:lang w:val="en-CA" w:eastAsia="zh-TW"/>
              </w:rPr>
              <w:t>Seleucus</w:t>
            </w:r>
            <w:proofErr w:type="spellEnd"/>
            <w:r w:rsidRPr="002F196B">
              <w:rPr>
                <w:rFonts w:asciiTheme="majorHAnsi" w:eastAsia="PMingLiU" w:hAnsiTheme="majorHAnsi" w:cs="SimSun"/>
                <w:bCs/>
                <w:snapToGrid w:val="0"/>
                <w:sz w:val="22"/>
                <w:szCs w:val="22"/>
                <w:lang w:val="en-CA" w:eastAsia="zh-TW"/>
              </w:rPr>
              <w:t xml:space="preserve"> ruled Syria and Babylon from Antioch, Ptolemy ruled Egypt from Alexandria. </w:t>
            </w:r>
          </w:p>
          <w:p w14:paraId="3DB83320"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Israel under Ptolemy till 199</w:t>
            </w:r>
          </w:p>
          <w:p w14:paraId="5E8E2BA3"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Then under </w:t>
            </w:r>
            <w:proofErr w:type="spellStart"/>
            <w:r w:rsidRPr="002F196B">
              <w:rPr>
                <w:rFonts w:asciiTheme="majorHAnsi" w:eastAsia="PMingLiU" w:hAnsiTheme="majorHAnsi" w:cs="SimSun"/>
                <w:bCs/>
                <w:snapToGrid w:val="0"/>
                <w:sz w:val="22"/>
                <w:szCs w:val="22"/>
                <w:lang w:val="en-CA" w:eastAsia="zh-TW"/>
              </w:rPr>
              <w:t>Seleucus</w:t>
            </w:r>
            <w:proofErr w:type="spellEnd"/>
            <w:r w:rsidRPr="002F196B">
              <w:rPr>
                <w:rFonts w:asciiTheme="majorHAnsi" w:eastAsia="PMingLiU" w:hAnsiTheme="majorHAnsi" w:cs="SimSun"/>
                <w:bCs/>
                <w:snapToGrid w:val="0"/>
                <w:sz w:val="22"/>
                <w:szCs w:val="22"/>
                <w:lang w:val="en-CA" w:eastAsia="zh-TW"/>
              </w:rPr>
              <w:t>.</w:t>
            </w:r>
          </w:p>
          <w:p w14:paraId="0F2D0454"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Antiochus </w:t>
            </w:r>
            <w:proofErr w:type="spellStart"/>
            <w:r w:rsidRPr="002F196B">
              <w:rPr>
                <w:rFonts w:asciiTheme="majorHAnsi" w:eastAsia="PMingLiU" w:hAnsiTheme="majorHAnsi" w:cs="SimSun"/>
                <w:bCs/>
                <w:snapToGrid w:val="0"/>
                <w:sz w:val="22"/>
                <w:szCs w:val="22"/>
                <w:lang w:val="en-CA" w:eastAsia="zh-TW"/>
              </w:rPr>
              <w:t>Epiphanes</w:t>
            </w:r>
            <w:proofErr w:type="spellEnd"/>
            <w:r w:rsidRPr="002F196B">
              <w:rPr>
                <w:rFonts w:asciiTheme="majorHAnsi" w:eastAsia="PMingLiU" w:hAnsiTheme="majorHAnsi" w:cs="SimSun"/>
                <w:bCs/>
                <w:snapToGrid w:val="0"/>
                <w:sz w:val="22"/>
                <w:szCs w:val="22"/>
                <w:lang w:val="en-CA" w:eastAsia="zh-TW"/>
              </w:rPr>
              <w:t xml:space="preserve"> IV desecrated the Temple in 167.</w:t>
            </w:r>
          </w:p>
          <w:p w14:paraId="4D0BC482"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167-63 </w:t>
            </w:r>
            <w:proofErr w:type="spellStart"/>
            <w:r w:rsidRPr="002F196B">
              <w:rPr>
                <w:rFonts w:asciiTheme="majorHAnsi" w:eastAsia="PMingLiU" w:hAnsiTheme="majorHAnsi" w:cs="SimSun"/>
                <w:bCs/>
                <w:snapToGrid w:val="0"/>
                <w:sz w:val="22"/>
                <w:szCs w:val="22"/>
                <w:lang w:val="en-CA" w:eastAsia="zh-TW"/>
              </w:rPr>
              <w:t>MacCabaean</w:t>
            </w:r>
            <w:proofErr w:type="spellEnd"/>
            <w:r w:rsidRPr="002F196B">
              <w:rPr>
                <w:rFonts w:asciiTheme="majorHAnsi" w:eastAsia="PMingLiU" w:hAnsiTheme="majorHAnsi" w:cs="SimSun"/>
                <w:bCs/>
                <w:snapToGrid w:val="0"/>
                <w:sz w:val="22"/>
                <w:szCs w:val="22"/>
                <w:lang w:val="en-CA" w:eastAsia="zh-TW"/>
              </w:rPr>
              <w:t xml:space="preserve"> revolt and </w:t>
            </w:r>
            <w:proofErr w:type="spellStart"/>
            <w:r w:rsidRPr="002F196B">
              <w:rPr>
                <w:rFonts w:asciiTheme="majorHAnsi" w:eastAsia="PMingLiU" w:hAnsiTheme="majorHAnsi" w:cs="SimSun"/>
                <w:bCs/>
                <w:snapToGrid w:val="0"/>
                <w:sz w:val="22"/>
                <w:szCs w:val="22"/>
                <w:lang w:val="en-CA" w:eastAsia="zh-TW"/>
              </w:rPr>
              <w:t>Hasmonaean</w:t>
            </w:r>
            <w:proofErr w:type="spellEnd"/>
            <w:r w:rsidRPr="002F196B">
              <w:rPr>
                <w:rFonts w:asciiTheme="majorHAnsi" w:eastAsia="PMingLiU" w:hAnsiTheme="majorHAnsi" w:cs="SimSun"/>
                <w:bCs/>
                <w:snapToGrid w:val="0"/>
                <w:sz w:val="22"/>
                <w:szCs w:val="22"/>
                <w:lang w:val="en-CA" w:eastAsia="zh-TW"/>
              </w:rPr>
              <w:t xml:space="preserve"> dynasty.</w:t>
            </w:r>
          </w:p>
          <w:p w14:paraId="577E9FB1" w14:textId="77777777" w:rsidR="002F196B" w:rsidRPr="002F196B" w:rsidRDefault="002F196B" w:rsidP="002F196B">
            <w:pPr>
              <w:ind w:left="360"/>
              <w:rPr>
                <w:rFonts w:asciiTheme="majorHAnsi" w:eastAsia="PMingLiU" w:hAnsiTheme="majorHAnsi" w:cs="SimSun"/>
                <w:bCs/>
                <w:snapToGrid w:val="0"/>
                <w:sz w:val="22"/>
                <w:szCs w:val="22"/>
                <w:lang w:val="en-CA" w:eastAsia="zh-TW"/>
              </w:rPr>
            </w:pPr>
          </w:p>
        </w:tc>
        <w:tc>
          <w:tcPr>
            <w:tcW w:w="3708" w:type="dxa"/>
            <w:shd w:val="clear" w:color="auto" w:fill="auto"/>
          </w:tcPr>
          <w:p w14:paraId="2FC13BCB" w14:textId="77777777" w:rsidR="002F196B" w:rsidRPr="002F196B" w:rsidRDefault="002F196B" w:rsidP="002F196B">
            <w:pPr>
              <w:rPr>
                <w:rFonts w:asciiTheme="majorHAnsi" w:eastAsia="PMingLiU" w:hAnsiTheme="majorHAnsi" w:cs="SimSun"/>
                <w:bCs/>
                <w:snapToGrid w:val="0"/>
                <w:sz w:val="22"/>
                <w:szCs w:val="22"/>
                <w:lang w:val="en-CA" w:eastAsia="zh-TW"/>
              </w:rPr>
            </w:pPr>
          </w:p>
        </w:tc>
      </w:tr>
      <w:tr w:rsidR="002F196B" w:rsidRPr="002F196B" w14:paraId="2BC56736" w14:textId="77777777" w:rsidTr="002F196B">
        <w:tc>
          <w:tcPr>
            <w:tcW w:w="1638" w:type="dxa"/>
            <w:shd w:val="clear" w:color="auto" w:fill="auto"/>
          </w:tcPr>
          <w:p w14:paraId="0FC4CE2C"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63-&gt;</w:t>
            </w:r>
          </w:p>
        </w:tc>
        <w:tc>
          <w:tcPr>
            <w:tcW w:w="4230" w:type="dxa"/>
            <w:shd w:val="clear" w:color="auto" w:fill="auto"/>
          </w:tcPr>
          <w:p w14:paraId="0C261E04"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The Roman Period</w:t>
            </w:r>
          </w:p>
          <w:p w14:paraId="2D5A437D" w14:textId="77777777" w:rsidR="002F196B" w:rsidRPr="002F196B" w:rsidRDefault="002F196B" w:rsidP="002F196B">
            <w:pPr>
              <w:numPr>
                <w:ilvl w:val="0"/>
                <w:numId w:val="24"/>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67 BC Pompey took Antioch and Damascus, entered the Holy of Holies, </w:t>
            </w:r>
            <w:proofErr w:type="gramStart"/>
            <w:r w:rsidRPr="002F196B">
              <w:rPr>
                <w:rFonts w:asciiTheme="majorHAnsi" w:eastAsia="PMingLiU" w:hAnsiTheme="majorHAnsi" w:cs="SimSun"/>
                <w:bCs/>
                <w:snapToGrid w:val="0"/>
                <w:sz w:val="22"/>
                <w:szCs w:val="22"/>
                <w:lang w:val="en-CA" w:eastAsia="zh-TW"/>
              </w:rPr>
              <w:t xml:space="preserve">made </w:t>
            </w:r>
            <w:proofErr w:type="spellStart"/>
            <w:r w:rsidRPr="002F196B">
              <w:rPr>
                <w:rFonts w:asciiTheme="majorHAnsi" w:eastAsia="PMingLiU" w:hAnsiTheme="majorHAnsi" w:cs="SimSun"/>
                <w:bCs/>
                <w:snapToGrid w:val="0"/>
                <w:sz w:val="22"/>
                <w:szCs w:val="22"/>
                <w:lang w:val="en-CA" w:eastAsia="zh-TW"/>
              </w:rPr>
              <w:t>Hyrcanus</w:t>
            </w:r>
            <w:proofErr w:type="spellEnd"/>
            <w:r w:rsidRPr="002F196B">
              <w:rPr>
                <w:rFonts w:asciiTheme="majorHAnsi" w:eastAsia="PMingLiU" w:hAnsiTheme="majorHAnsi" w:cs="SimSun"/>
                <w:bCs/>
                <w:snapToGrid w:val="0"/>
                <w:sz w:val="22"/>
                <w:szCs w:val="22"/>
                <w:lang w:val="en-CA" w:eastAsia="zh-TW"/>
              </w:rPr>
              <w:t xml:space="preserve"> (</w:t>
            </w:r>
            <w:proofErr w:type="spellStart"/>
            <w:r w:rsidRPr="002F196B">
              <w:rPr>
                <w:rFonts w:asciiTheme="majorHAnsi" w:eastAsia="PMingLiU" w:hAnsiTheme="majorHAnsi" w:cs="SimSun"/>
                <w:bCs/>
                <w:snapToGrid w:val="0"/>
                <w:sz w:val="22"/>
                <w:szCs w:val="22"/>
                <w:lang w:val="en-CA" w:eastAsia="zh-TW"/>
              </w:rPr>
              <w:t>Edomite</w:t>
            </w:r>
            <w:proofErr w:type="spellEnd"/>
            <w:r w:rsidRPr="002F196B">
              <w:rPr>
                <w:rFonts w:asciiTheme="majorHAnsi" w:eastAsia="PMingLiU" w:hAnsiTheme="majorHAnsi" w:cs="SimSun"/>
                <w:bCs/>
                <w:snapToGrid w:val="0"/>
                <w:sz w:val="22"/>
                <w:szCs w:val="22"/>
                <w:lang w:val="en-CA" w:eastAsia="zh-TW"/>
              </w:rPr>
              <w:t xml:space="preserve">) </w:t>
            </w:r>
            <w:proofErr w:type="spellStart"/>
            <w:r w:rsidRPr="002F196B">
              <w:rPr>
                <w:rFonts w:asciiTheme="majorHAnsi" w:eastAsia="PMingLiU" w:hAnsiTheme="majorHAnsi" w:cs="SimSun"/>
                <w:bCs/>
                <w:snapToGrid w:val="0"/>
                <w:sz w:val="22"/>
                <w:szCs w:val="22"/>
                <w:lang w:val="en-CA" w:eastAsia="zh-TW"/>
              </w:rPr>
              <w:t>ethnarch</w:t>
            </w:r>
            <w:proofErr w:type="spellEnd"/>
            <w:proofErr w:type="gramEnd"/>
            <w:r w:rsidRPr="002F196B">
              <w:rPr>
                <w:rFonts w:asciiTheme="majorHAnsi" w:eastAsia="PMingLiU" w:hAnsiTheme="majorHAnsi" w:cs="SimSun"/>
                <w:bCs/>
                <w:snapToGrid w:val="0"/>
                <w:sz w:val="22"/>
                <w:szCs w:val="22"/>
                <w:lang w:val="en-CA" w:eastAsia="zh-TW"/>
              </w:rPr>
              <w:t>.</w:t>
            </w:r>
          </w:p>
          <w:p w14:paraId="7ADBE98C" w14:textId="77777777" w:rsidR="002F196B" w:rsidRPr="002F196B" w:rsidRDefault="002F196B" w:rsidP="002F196B">
            <w:pPr>
              <w:numPr>
                <w:ilvl w:val="0"/>
                <w:numId w:val="24"/>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Julius Caesar, Octavian/</w:t>
            </w:r>
            <w:proofErr w:type="gramStart"/>
            <w:r w:rsidRPr="002F196B">
              <w:rPr>
                <w:rFonts w:asciiTheme="majorHAnsi" w:eastAsia="PMingLiU" w:hAnsiTheme="majorHAnsi" w:cs="SimSun"/>
                <w:bCs/>
                <w:snapToGrid w:val="0"/>
                <w:sz w:val="22"/>
                <w:szCs w:val="22"/>
                <w:lang w:val="en-CA" w:eastAsia="zh-TW"/>
              </w:rPr>
              <w:t>Anthony(</w:t>
            </w:r>
            <w:proofErr w:type="gramEnd"/>
            <w:r w:rsidRPr="002F196B">
              <w:rPr>
                <w:rFonts w:asciiTheme="majorHAnsi" w:eastAsia="PMingLiU" w:hAnsiTheme="majorHAnsi" w:cs="SimSun"/>
                <w:bCs/>
                <w:snapToGrid w:val="0"/>
                <w:sz w:val="22"/>
                <w:szCs w:val="22"/>
                <w:lang w:val="en-CA" w:eastAsia="zh-TW"/>
              </w:rPr>
              <w:t>Cleopatra), King Herod the Great.</w:t>
            </w:r>
          </w:p>
        </w:tc>
        <w:tc>
          <w:tcPr>
            <w:tcW w:w="3708" w:type="dxa"/>
            <w:shd w:val="clear" w:color="auto" w:fill="auto"/>
          </w:tcPr>
          <w:p w14:paraId="619BA993" w14:textId="77777777" w:rsidR="002F196B" w:rsidRPr="002F196B" w:rsidRDefault="002F196B" w:rsidP="002F196B">
            <w:pPr>
              <w:rPr>
                <w:rFonts w:asciiTheme="majorHAnsi" w:eastAsia="PMingLiU" w:hAnsiTheme="majorHAnsi" w:cs="SimSun"/>
                <w:bCs/>
                <w:snapToGrid w:val="0"/>
                <w:sz w:val="22"/>
                <w:szCs w:val="22"/>
                <w:lang w:val="en-CA" w:eastAsia="zh-TW"/>
              </w:rPr>
            </w:pPr>
          </w:p>
        </w:tc>
      </w:tr>
    </w:tbl>
    <w:p w14:paraId="6A01DF30" w14:textId="77777777" w:rsidR="002F196B" w:rsidRDefault="002F196B" w:rsidP="002F196B">
      <w:pPr>
        <w:rPr>
          <w:rFonts w:asciiTheme="majorHAnsi" w:eastAsia="PMingLiU" w:hAnsiTheme="majorHAnsi" w:cs="SimSun"/>
          <w:bCs/>
          <w:snapToGrid w:val="0"/>
          <w:sz w:val="22"/>
          <w:szCs w:val="22"/>
          <w:lang w:val="en-CA" w:eastAsia="zh-TW"/>
        </w:rPr>
      </w:pPr>
    </w:p>
    <w:p w14:paraId="4F15514B"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References: David Stacey, </w:t>
      </w:r>
      <w:r w:rsidRPr="002F196B">
        <w:rPr>
          <w:rFonts w:asciiTheme="majorHAnsi" w:eastAsia="PMingLiU" w:hAnsiTheme="majorHAnsi" w:cs="SimSun"/>
          <w:bCs/>
          <w:i/>
          <w:snapToGrid w:val="0"/>
          <w:sz w:val="22"/>
          <w:szCs w:val="22"/>
          <w:lang w:val="en-CA" w:eastAsia="zh-TW"/>
        </w:rPr>
        <w:t>Ground Work of Biblical Studies</w:t>
      </w:r>
      <w:r w:rsidRPr="002F196B">
        <w:rPr>
          <w:rFonts w:asciiTheme="majorHAnsi" w:eastAsia="PMingLiU" w:hAnsiTheme="majorHAnsi" w:cs="SimSun"/>
          <w:bCs/>
          <w:snapToGrid w:val="0"/>
          <w:sz w:val="22"/>
          <w:szCs w:val="22"/>
          <w:lang w:val="en-CA" w:eastAsia="zh-TW"/>
        </w:rPr>
        <w:t>, Epworth Press, 1979, pp.132-138.</w:t>
      </w:r>
    </w:p>
    <w:p w14:paraId="7FDC7971" w14:textId="77777777" w:rsidR="002F196B" w:rsidRPr="002F196B" w:rsidRDefault="002F196B" w:rsidP="002F196B">
      <w:pPr>
        <w:rPr>
          <w:rFonts w:asciiTheme="majorHAnsi" w:eastAsia="PMingLiU" w:hAnsiTheme="majorHAnsi" w:cs="SimSun"/>
          <w:bCs/>
          <w:snapToGrid w:val="0"/>
          <w:sz w:val="22"/>
          <w:szCs w:val="22"/>
          <w:lang w:val="en-CA" w:eastAsia="zh-TW"/>
        </w:rPr>
      </w:pPr>
      <w:proofErr w:type="gramStart"/>
      <w:r w:rsidRPr="002F196B">
        <w:rPr>
          <w:rFonts w:asciiTheme="majorHAnsi" w:eastAsia="PMingLiU" w:hAnsiTheme="majorHAnsi" w:cs="SimSun"/>
          <w:bCs/>
          <w:snapToGrid w:val="0"/>
          <w:sz w:val="22"/>
          <w:szCs w:val="22"/>
          <w:lang w:val="en-CA" w:eastAsia="zh-TW"/>
        </w:rPr>
        <w:t>SK, pp.2019 ff.</w:t>
      </w:r>
      <w:proofErr w:type="gramEnd"/>
    </w:p>
    <w:p w14:paraId="482BE407" w14:textId="77777777" w:rsidR="002F196B" w:rsidRPr="002F196B" w:rsidRDefault="002F196B" w:rsidP="002F196B">
      <w:pPr>
        <w:rPr>
          <w:rFonts w:asciiTheme="majorHAnsi" w:hAnsiTheme="majorHAnsi" w:cs="SimSun"/>
          <w:bCs/>
          <w:sz w:val="22"/>
          <w:szCs w:val="22"/>
        </w:rPr>
      </w:pPr>
    </w:p>
    <w:p w14:paraId="4278878C" w14:textId="3F8BE3EF" w:rsidR="0051552E" w:rsidRPr="002F196B" w:rsidRDefault="0051552E" w:rsidP="002F196B">
      <w:pPr>
        <w:ind w:left="-216"/>
        <w:rPr>
          <w:rFonts w:asciiTheme="majorHAnsi" w:eastAsia="PMingLiU" w:hAnsiTheme="majorHAnsi" w:cs="SimSun"/>
          <w:bCs/>
          <w:snapToGrid w:val="0"/>
          <w:sz w:val="22"/>
          <w:szCs w:val="22"/>
          <w:lang w:val="en-CA" w:eastAsia="zh-TW"/>
        </w:rPr>
      </w:pPr>
    </w:p>
    <w:sectPr w:rsidR="0051552E" w:rsidRPr="002F196B"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2F196B" w:rsidRDefault="002F196B">
      <w:r>
        <w:separator/>
      </w:r>
    </w:p>
  </w:endnote>
  <w:endnote w:type="continuationSeparator" w:id="0">
    <w:p w14:paraId="1E0BF577" w14:textId="77777777" w:rsidR="002F196B" w:rsidRDefault="002F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gLiU">
    <w:altName w:val="Microsoft JhengHei"/>
    <w:panose1 w:val="00000000000000000000"/>
    <w:charset w:val="88"/>
    <w:family w:val="modern"/>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2F196B" w:rsidRDefault="002F196B"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2F196B" w:rsidRDefault="002F19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2F196B" w:rsidRDefault="002F196B"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C56">
      <w:rPr>
        <w:rStyle w:val="PageNumber"/>
        <w:noProof/>
      </w:rPr>
      <w:t>3</w:t>
    </w:r>
    <w:r>
      <w:rPr>
        <w:rStyle w:val="PageNumber"/>
      </w:rPr>
      <w:fldChar w:fldCharType="end"/>
    </w:r>
  </w:p>
  <w:p w14:paraId="067383E7" w14:textId="77777777" w:rsidR="002F196B" w:rsidRDefault="002F196B"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2F196B" w:rsidRDefault="002F196B">
      <w:r>
        <w:separator/>
      </w:r>
    </w:p>
  </w:footnote>
  <w:footnote w:type="continuationSeparator" w:id="0">
    <w:p w14:paraId="4E30DB9D" w14:textId="77777777" w:rsidR="002F196B" w:rsidRDefault="002F1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03E473A5" w:rsidR="002F196B" w:rsidRPr="004668B4" w:rsidRDefault="002F196B">
    <w:pPr>
      <w:pStyle w:val="Header"/>
      <w:rPr>
        <w:rFonts w:ascii="Arial" w:hAnsi="Arial" w:cs="Arial"/>
        <w:b/>
        <w:sz w:val="20"/>
        <w:szCs w:val="20"/>
      </w:rPr>
    </w:pPr>
    <w:r>
      <w:rPr>
        <w:rFonts w:ascii="Arial" w:hAnsi="Arial" w:cs="Arial"/>
        <w:b/>
        <w:sz w:val="20"/>
        <w:szCs w:val="20"/>
      </w:rPr>
      <w:t>Chinese</w:t>
    </w:r>
    <w:r w:rsidRPr="004668B4">
      <w:rPr>
        <w:rFonts w:ascii="Arial" w:hAnsi="Arial" w:cs="Arial"/>
        <w:b/>
        <w:sz w:val="20"/>
        <w:szCs w:val="20"/>
      </w:rPr>
      <w:t xml:space="preserve"> Martyrs Catholic Church</w:t>
    </w:r>
  </w:p>
  <w:p w14:paraId="67FF0401" w14:textId="2A7AA609" w:rsidR="002F196B" w:rsidRDefault="002F196B">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6DD6362D" w14:textId="77777777" w:rsidR="002F196B" w:rsidRDefault="002F196B" w:rsidP="00A161AB">
    <w:pPr>
      <w:pStyle w:val="Header"/>
      <w:rPr>
        <w:rFonts w:ascii="Arial" w:hAnsi="Arial" w:cs="Arial"/>
        <w:b/>
        <w:sz w:val="20"/>
        <w:szCs w:val="20"/>
      </w:rPr>
    </w:pPr>
    <w:r>
      <w:rPr>
        <w:rFonts w:ascii="Arial" w:hAnsi="Arial" w:cs="Arial"/>
        <w:b/>
        <w:sz w:val="20"/>
        <w:szCs w:val="20"/>
      </w:rPr>
      <w:t>Daniel #8: Prophecies Concerning Persia, Greece,</w:t>
    </w:r>
  </w:p>
  <w:p w14:paraId="6CD7F365" w14:textId="081E1DBA" w:rsidR="002F196B" w:rsidRPr="004668B4" w:rsidRDefault="002F196B" w:rsidP="00A161AB">
    <w:pPr>
      <w:pStyle w:val="Header"/>
      <w:rPr>
        <w:rFonts w:ascii="Arial" w:hAnsi="Arial" w:cs="Arial"/>
        <w:b/>
        <w:sz w:val="20"/>
        <w:szCs w:val="20"/>
      </w:rPr>
    </w:pPr>
    <w:r>
      <w:rPr>
        <w:rFonts w:ascii="Arial" w:hAnsi="Arial" w:cs="Arial"/>
        <w:b/>
        <w:sz w:val="20"/>
        <w:szCs w:val="20"/>
      </w:rPr>
      <w:t>Egypt and Syria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B44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6138F98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1"/>
  </w:num>
  <w:num w:numId="7">
    <w:abstractNumId w:val="8"/>
  </w:num>
  <w:num w:numId="8">
    <w:abstractNumId w:val="20"/>
  </w:num>
  <w:num w:numId="9">
    <w:abstractNumId w:val="2"/>
  </w:num>
  <w:num w:numId="10">
    <w:abstractNumId w:val="23"/>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7"/>
  </w:num>
  <w:num w:numId="18">
    <w:abstractNumId w:val="22"/>
  </w:num>
  <w:num w:numId="19">
    <w:abstractNumId w:val="16"/>
  </w:num>
  <w:num w:numId="20">
    <w:abstractNumId w:val="10"/>
  </w:num>
  <w:num w:numId="21">
    <w:abstractNumId w:val="19"/>
  </w:num>
  <w:num w:numId="22">
    <w:abstractNumId w:val="14"/>
  </w:num>
  <w:num w:numId="23">
    <w:abstractNumId w:val="18"/>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40F3"/>
    <w:rsid w:val="00016008"/>
    <w:rsid w:val="00023748"/>
    <w:rsid w:val="00023AC1"/>
    <w:rsid w:val="00033798"/>
    <w:rsid w:val="00036B65"/>
    <w:rsid w:val="00040528"/>
    <w:rsid w:val="000727E2"/>
    <w:rsid w:val="000903BD"/>
    <w:rsid w:val="000A0CA2"/>
    <w:rsid w:val="000A7EA6"/>
    <w:rsid w:val="000B2EBE"/>
    <w:rsid w:val="000C3E51"/>
    <w:rsid w:val="000E1266"/>
    <w:rsid w:val="000E590F"/>
    <w:rsid w:val="000F261E"/>
    <w:rsid w:val="000F5A25"/>
    <w:rsid w:val="00105208"/>
    <w:rsid w:val="001154F6"/>
    <w:rsid w:val="00117873"/>
    <w:rsid w:val="001178D8"/>
    <w:rsid w:val="001271AD"/>
    <w:rsid w:val="00127FD5"/>
    <w:rsid w:val="00147043"/>
    <w:rsid w:val="00156B48"/>
    <w:rsid w:val="001572B1"/>
    <w:rsid w:val="00160A23"/>
    <w:rsid w:val="00163BD1"/>
    <w:rsid w:val="001712E1"/>
    <w:rsid w:val="0017428D"/>
    <w:rsid w:val="001800EC"/>
    <w:rsid w:val="00182825"/>
    <w:rsid w:val="00183BC9"/>
    <w:rsid w:val="001B1CF1"/>
    <w:rsid w:val="001B305E"/>
    <w:rsid w:val="001B3C25"/>
    <w:rsid w:val="001C6D5A"/>
    <w:rsid w:val="001D03A9"/>
    <w:rsid w:val="001D642C"/>
    <w:rsid w:val="001E45A7"/>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A7885"/>
    <w:rsid w:val="002B19A5"/>
    <w:rsid w:val="002B2DD8"/>
    <w:rsid w:val="002D6361"/>
    <w:rsid w:val="002E0B02"/>
    <w:rsid w:val="002E65F7"/>
    <w:rsid w:val="002F196B"/>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963FA"/>
    <w:rsid w:val="003C3A56"/>
    <w:rsid w:val="003D438D"/>
    <w:rsid w:val="003D47E1"/>
    <w:rsid w:val="003E37E2"/>
    <w:rsid w:val="003E3FA4"/>
    <w:rsid w:val="003F02A6"/>
    <w:rsid w:val="00403C56"/>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B3E"/>
    <w:rsid w:val="004C1E77"/>
    <w:rsid w:val="004C2460"/>
    <w:rsid w:val="004C3D5E"/>
    <w:rsid w:val="004D311F"/>
    <w:rsid w:val="004E4615"/>
    <w:rsid w:val="004F7065"/>
    <w:rsid w:val="004F7B15"/>
    <w:rsid w:val="00510018"/>
    <w:rsid w:val="0051209D"/>
    <w:rsid w:val="0051552E"/>
    <w:rsid w:val="00515E02"/>
    <w:rsid w:val="00517FAF"/>
    <w:rsid w:val="00520488"/>
    <w:rsid w:val="005323B8"/>
    <w:rsid w:val="0053526F"/>
    <w:rsid w:val="00552FF7"/>
    <w:rsid w:val="005559E8"/>
    <w:rsid w:val="00555A6E"/>
    <w:rsid w:val="00555E3A"/>
    <w:rsid w:val="00563762"/>
    <w:rsid w:val="0057248C"/>
    <w:rsid w:val="0057791A"/>
    <w:rsid w:val="00580175"/>
    <w:rsid w:val="00581161"/>
    <w:rsid w:val="00590151"/>
    <w:rsid w:val="0059529A"/>
    <w:rsid w:val="00597DC3"/>
    <w:rsid w:val="005A080B"/>
    <w:rsid w:val="005A3A06"/>
    <w:rsid w:val="005A4865"/>
    <w:rsid w:val="005A4E65"/>
    <w:rsid w:val="005A77A4"/>
    <w:rsid w:val="005B14C7"/>
    <w:rsid w:val="005B4807"/>
    <w:rsid w:val="005B49FF"/>
    <w:rsid w:val="005B7814"/>
    <w:rsid w:val="005D46FC"/>
    <w:rsid w:val="005D4AD0"/>
    <w:rsid w:val="005D4E8C"/>
    <w:rsid w:val="005E3B24"/>
    <w:rsid w:val="005F4416"/>
    <w:rsid w:val="005F7278"/>
    <w:rsid w:val="00600546"/>
    <w:rsid w:val="00625897"/>
    <w:rsid w:val="00646E03"/>
    <w:rsid w:val="00661593"/>
    <w:rsid w:val="00663992"/>
    <w:rsid w:val="00665770"/>
    <w:rsid w:val="00666AF4"/>
    <w:rsid w:val="00667F2A"/>
    <w:rsid w:val="006709AA"/>
    <w:rsid w:val="006710B7"/>
    <w:rsid w:val="00672592"/>
    <w:rsid w:val="00681509"/>
    <w:rsid w:val="00690B39"/>
    <w:rsid w:val="00696C2C"/>
    <w:rsid w:val="006B0ED9"/>
    <w:rsid w:val="006C2152"/>
    <w:rsid w:val="006C61C7"/>
    <w:rsid w:val="006D62B8"/>
    <w:rsid w:val="006D6773"/>
    <w:rsid w:val="006E26F0"/>
    <w:rsid w:val="006E2D92"/>
    <w:rsid w:val="00703DE3"/>
    <w:rsid w:val="00711F36"/>
    <w:rsid w:val="0072671C"/>
    <w:rsid w:val="00732EF3"/>
    <w:rsid w:val="0074204B"/>
    <w:rsid w:val="007435B9"/>
    <w:rsid w:val="0074797D"/>
    <w:rsid w:val="00753137"/>
    <w:rsid w:val="00754880"/>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573A7"/>
    <w:rsid w:val="0086596E"/>
    <w:rsid w:val="00882899"/>
    <w:rsid w:val="0088502B"/>
    <w:rsid w:val="00886AB2"/>
    <w:rsid w:val="008931D3"/>
    <w:rsid w:val="00893792"/>
    <w:rsid w:val="00897378"/>
    <w:rsid w:val="008A276E"/>
    <w:rsid w:val="008B3289"/>
    <w:rsid w:val="008B5203"/>
    <w:rsid w:val="008B5456"/>
    <w:rsid w:val="008B7E8D"/>
    <w:rsid w:val="008C0D17"/>
    <w:rsid w:val="008C38FF"/>
    <w:rsid w:val="008C56A8"/>
    <w:rsid w:val="008D141A"/>
    <w:rsid w:val="008D386E"/>
    <w:rsid w:val="008D630A"/>
    <w:rsid w:val="008D6E92"/>
    <w:rsid w:val="008E165C"/>
    <w:rsid w:val="008E41FC"/>
    <w:rsid w:val="008F0418"/>
    <w:rsid w:val="008F5612"/>
    <w:rsid w:val="00904309"/>
    <w:rsid w:val="00905ABA"/>
    <w:rsid w:val="00910C19"/>
    <w:rsid w:val="009115DF"/>
    <w:rsid w:val="009140F0"/>
    <w:rsid w:val="009152FF"/>
    <w:rsid w:val="00916315"/>
    <w:rsid w:val="00924BC3"/>
    <w:rsid w:val="00931D77"/>
    <w:rsid w:val="00937631"/>
    <w:rsid w:val="00937664"/>
    <w:rsid w:val="00937736"/>
    <w:rsid w:val="00945720"/>
    <w:rsid w:val="009465FC"/>
    <w:rsid w:val="00967960"/>
    <w:rsid w:val="00967C71"/>
    <w:rsid w:val="00972E0A"/>
    <w:rsid w:val="009871E9"/>
    <w:rsid w:val="009918B6"/>
    <w:rsid w:val="0099257C"/>
    <w:rsid w:val="009A51DE"/>
    <w:rsid w:val="009A7262"/>
    <w:rsid w:val="009B0E23"/>
    <w:rsid w:val="009C22F9"/>
    <w:rsid w:val="009D72D4"/>
    <w:rsid w:val="009E0387"/>
    <w:rsid w:val="009E4F70"/>
    <w:rsid w:val="00A161AB"/>
    <w:rsid w:val="00A269D1"/>
    <w:rsid w:val="00A41982"/>
    <w:rsid w:val="00A443AE"/>
    <w:rsid w:val="00A45954"/>
    <w:rsid w:val="00A46781"/>
    <w:rsid w:val="00A46CDC"/>
    <w:rsid w:val="00A4768B"/>
    <w:rsid w:val="00A51324"/>
    <w:rsid w:val="00A53218"/>
    <w:rsid w:val="00A56885"/>
    <w:rsid w:val="00A71773"/>
    <w:rsid w:val="00A766D1"/>
    <w:rsid w:val="00A80BD6"/>
    <w:rsid w:val="00A84889"/>
    <w:rsid w:val="00A95017"/>
    <w:rsid w:val="00A97FA6"/>
    <w:rsid w:val="00AA2EAC"/>
    <w:rsid w:val="00AA6F44"/>
    <w:rsid w:val="00AA7EFE"/>
    <w:rsid w:val="00AB375C"/>
    <w:rsid w:val="00AC0C6D"/>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A64C4"/>
    <w:rsid w:val="00BB1103"/>
    <w:rsid w:val="00BC3271"/>
    <w:rsid w:val="00BC3668"/>
    <w:rsid w:val="00BC5D9D"/>
    <w:rsid w:val="00BD6EA8"/>
    <w:rsid w:val="00BF6B46"/>
    <w:rsid w:val="00C00DED"/>
    <w:rsid w:val="00C05738"/>
    <w:rsid w:val="00C15C62"/>
    <w:rsid w:val="00C164CE"/>
    <w:rsid w:val="00C16500"/>
    <w:rsid w:val="00C23524"/>
    <w:rsid w:val="00C2367F"/>
    <w:rsid w:val="00C23956"/>
    <w:rsid w:val="00C3127A"/>
    <w:rsid w:val="00C339AE"/>
    <w:rsid w:val="00C344C5"/>
    <w:rsid w:val="00C479B6"/>
    <w:rsid w:val="00C50EBE"/>
    <w:rsid w:val="00C568B4"/>
    <w:rsid w:val="00C57059"/>
    <w:rsid w:val="00C578CB"/>
    <w:rsid w:val="00C82BCB"/>
    <w:rsid w:val="00C84DFE"/>
    <w:rsid w:val="00C9337B"/>
    <w:rsid w:val="00C94A18"/>
    <w:rsid w:val="00CA0E2B"/>
    <w:rsid w:val="00CA6B83"/>
    <w:rsid w:val="00CA73DC"/>
    <w:rsid w:val="00CB7D7C"/>
    <w:rsid w:val="00CC0057"/>
    <w:rsid w:val="00CC1867"/>
    <w:rsid w:val="00CC457D"/>
    <w:rsid w:val="00CD24D5"/>
    <w:rsid w:val="00CD397D"/>
    <w:rsid w:val="00CD7567"/>
    <w:rsid w:val="00CE77D4"/>
    <w:rsid w:val="00CF11A4"/>
    <w:rsid w:val="00CF3EAA"/>
    <w:rsid w:val="00CF4395"/>
    <w:rsid w:val="00CF6854"/>
    <w:rsid w:val="00D01289"/>
    <w:rsid w:val="00D15721"/>
    <w:rsid w:val="00D1784F"/>
    <w:rsid w:val="00D2136D"/>
    <w:rsid w:val="00D277BA"/>
    <w:rsid w:val="00D322F2"/>
    <w:rsid w:val="00D619BC"/>
    <w:rsid w:val="00D736B3"/>
    <w:rsid w:val="00D763FB"/>
    <w:rsid w:val="00D82635"/>
    <w:rsid w:val="00D93CE3"/>
    <w:rsid w:val="00DB37ED"/>
    <w:rsid w:val="00DC190A"/>
    <w:rsid w:val="00DC3FA7"/>
    <w:rsid w:val="00DD07D0"/>
    <w:rsid w:val="00DD2F9B"/>
    <w:rsid w:val="00DF103A"/>
    <w:rsid w:val="00DF76C0"/>
    <w:rsid w:val="00E07544"/>
    <w:rsid w:val="00E129CF"/>
    <w:rsid w:val="00E1720D"/>
    <w:rsid w:val="00E231A8"/>
    <w:rsid w:val="00E231FC"/>
    <w:rsid w:val="00E2415B"/>
    <w:rsid w:val="00E30F9A"/>
    <w:rsid w:val="00E342A5"/>
    <w:rsid w:val="00E35328"/>
    <w:rsid w:val="00E53DC1"/>
    <w:rsid w:val="00E566A2"/>
    <w:rsid w:val="00E70370"/>
    <w:rsid w:val="00E71BA1"/>
    <w:rsid w:val="00E77D1E"/>
    <w:rsid w:val="00E8682D"/>
    <w:rsid w:val="00E9437E"/>
    <w:rsid w:val="00EA44AE"/>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92B2D"/>
    <w:rsid w:val="00FA5C5D"/>
    <w:rsid w:val="00FB1023"/>
    <w:rsid w:val="00FE0C07"/>
    <w:rsid w:val="00FE1820"/>
    <w:rsid w:val="00FE53E5"/>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2412]"/>
    </o:shapedefaults>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 w:type="paragraph" w:styleId="Title">
    <w:name w:val="Title"/>
    <w:basedOn w:val="Normal"/>
    <w:next w:val="Normal"/>
    <w:link w:val="TitleChar"/>
    <w:uiPriority w:val="10"/>
    <w:qFormat/>
    <w:rsid w:val="002F19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96B"/>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 w:type="paragraph" w:styleId="Title">
    <w:name w:val="Title"/>
    <w:basedOn w:val="Normal"/>
    <w:next w:val="Normal"/>
    <w:link w:val="TitleChar"/>
    <w:uiPriority w:val="10"/>
    <w:qFormat/>
    <w:rsid w:val="002F19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96B"/>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647CD76-36A0-FD4C-8C8F-6197CFBF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855</Words>
  <Characters>4875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5719</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3</cp:revision>
  <dcterms:created xsi:type="dcterms:W3CDTF">2017-04-06T23:04:00Z</dcterms:created>
  <dcterms:modified xsi:type="dcterms:W3CDTF">2017-04-07T00:42:00Z</dcterms:modified>
</cp:coreProperties>
</file>